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1120" w:hRule="exact"/>
        </w:trPr>
        <w:tc>
          <w:tcPr>
            <w:tcW w:type="dxa" w:w="6257"/>
            <w:tcBorders>
              <w:top w:val="none" w:color="FFFFFF" w:sz="0"/>
              <w:left w:val="none" w:color="FFFFFF" w:sz="0"/>
              <w:bottom w:val="none" w:color="FFFFFF" w:sz="0"/>
              <w:right w:val="none" w:color="FFFFFF" w:sz="0"/>
            </w:tcBorders>
            <w:shd w:fill="002D72" w:color="auto" w:val="clear"/>
            <w:tcMar>
              <w:top w:type="dxa" w:w="80"/>
              <w:left w:type="dxa" w:w="260"/>
              <w:bottom w:type="dxa" w:w="80"/>
              <w:right w:type="dxa" w:w="0"/>
            </w:tcMar>
            <w:vAlign w:val="center"/>
          </w:tcPr>
          <w:p>
            <w:pPr>
              <w:spacing w:after="30"/>
            </w:pPr>
            <w:r>
              <w:rPr>
                <w:rFonts w:ascii="Georgia" w:cs="Georgia" w:eastAsia="Georgia" w:hAnsi="Georgia"/>
                <w:b/>
                <w:bCs/>
                <w:color w:val="FFFFFF"/>
                <w:sz w:val="50"/>
                <w:szCs w:val="50"/>
              </w:rPr>
              <w:t xml:space="preserve">JHTV</w:t>
            </w:r>
          </w:p>
          <w:p>
            <w:r>
              <w:rPr>
                <w:rFonts w:ascii="Helvetica Neue" w:cs="Helvetica Neue" w:eastAsia="Helvetica Neue" w:hAnsi="Helvetica Neue"/>
                <w:b/>
                <w:bCs/>
                <w:color w:val="68ACE5"/>
                <w:spacing w:val="16"/>
                <w:sz w:val="15"/>
                <w:szCs w:val="15"/>
              </w:rPr>
              <w:t xml:space="preserve">JOHNS HOPKINS TECHNOLOGY VENTURES</w:t>
            </w:r>
          </w:p>
        </w:tc>
        <w:tc>
          <w:tcPr>
            <w:tcW w:type="dxa" w:w="5119"/>
            <w:tcBorders>
              <w:top w:val="none" w:color="FFFFFF" w:sz="0"/>
              <w:left w:val="none" w:color="FFFFFF" w:sz="0"/>
              <w:bottom w:val="none" w:color="FFFFFF" w:sz="0"/>
              <w:right w:val="none" w:color="FFFFFF" w:sz="0"/>
            </w:tcBorders>
            <w:shd w:fill="002D72" w:color="auto" w:val="clear"/>
            <w:tcMar>
              <w:top w:type="dxa" w:w="80"/>
              <w:left w:type="dxa" w:w="0"/>
              <w:bottom w:type="dxa" w:w="80"/>
              <w:right w:type="dxa" w:w="260"/>
            </w:tcMar>
            <w:vAlign w:val="center"/>
          </w:tcPr>
          <w:p>
            <w:pPr>
              <w:pBdr>
                <w:bottom w:val="single" w:color="CBA052" w:sz="6" w:space="2"/>
              </w:pBdr>
              <w:spacing w:after="50"/>
              <w:jc w:val="right"/>
            </w:pPr>
            <w:r>
              <w:rPr>
                <w:rFonts w:ascii="Helvetica Neue" w:cs="Helvetica Neue" w:eastAsia="Helvetica Neue" w:hAnsi="Helvetica Neue"/>
                <w:b/>
                <w:bCs/>
                <w:color w:val="CBA052"/>
                <w:spacing w:val="20"/>
                <w:sz w:val="16"/>
                <w:szCs w:val="16"/>
              </w:rPr>
              <w:t xml:space="preserve">TECHNOLOGY OPPORTUNITY BRIEF</w:t>
            </w:r>
          </w:p>
          <w:p>
            <w:pPr>
              <w:jc w:val="right"/>
            </w:pPr>
            <w:r>
              <w:rPr>
                <w:rFonts w:ascii="Helvetica Neue" w:cs="Helvetica Neue" w:eastAsia="Helvetica Neue" w:hAnsi="Helvetica Neue"/>
                <w:color w:val="FFFFFF"/>
                <w:sz w:val="16"/>
                <w:szCs w:val="16"/>
              </w:rPr>
              <w:t xml:space="preserve">ventures.jhu.edu</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1080" w:hRule="exact"/>
        </w:trPr>
        <w:tc>
          <w:tcPr>
            <w:tcW w:type="dxa" w:w="1500"/>
            <w:tcBorders>
              <w:top w:val="none" w:color="FFFFFF" w:sz="0"/>
              <w:left w:val="none" w:color="FFFFFF" w:sz="0"/>
              <w:bottom w:val="none" w:color="FFFFFF" w:sz="0"/>
              <w:right w:val="none" w:color="FFFFFF" w:sz="0"/>
            </w:tcBorders>
            <w:shd w:fill="002D72" w:color="auto" w:val="clear"/>
            <w:tcMar>
              <w:top w:type="dxa" w:w="80"/>
              <w:left w:type="dxa" w:w="160"/>
              <w:bottom w:type="dxa" w:w="80"/>
              <w:right w:type="dxa" w:w="60"/>
            </w:tcMar>
            <w:vAlign w:val="center"/>
          </w:tcPr>
          <w:p>
            <w:pPr>
              <w:spacing w:after="40"/>
            </w:pPr>
            <w:r>
              <w:rPr>
                <w:rFonts w:ascii="Helvetica Neue" w:cs="Helvetica Neue" w:eastAsia="Helvetica Neue" w:hAnsi="Helvetica Neue"/>
                <w:b/>
                <w:bCs/>
                <w:color w:val="FFFFFF"/>
                <w:spacing w:val="6"/>
                <w:sz w:val="13"/>
                <w:szCs w:val="13"/>
              </w:rPr>
              <w:t xml:space="preserve">THERAPEUTICS</w:t>
            </w:r>
          </w:p>
          <w:p>
            <w:pPr>
              <w:spacing w:after="0"/>
            </w:pPr>
            <w:r>
              <w:rPr>
                <w:rFonts w:ascii="Helvetica Neue" w:cs="Helvetica Neue" w:eastAsia="Helvetica Neue" w:hAnsi="Helvetica Neue"/>
                <w:b/>
                <w:bCs/>
                <w:color w:val="FFFFFF"/>
                <w:spacing w:val="6"/>
                <w:sz w:val="13"/>
                <w:szCs w:val="13"/>
              </w:rPr>
              <w:t xml:space="preserve">INFECTIOUS DISEASE</w:t>
            </w:r>
          </w:p>
        </w:tc>
        <w:tc>
          <w:tcPr>
            <w:tcW w:type="dxa" w:w="9876"/>
            <w:tcBorders>
              <w:top w:val="none" w:color="FFFFFF" w:sz="0"/>
              <w:left w:val="none" w:color="FFFFFF" w:sz="0"/>
              <w:bottom w:val="none" w:color="FFFFFF" w:sz="0"/>
              <w:right w:val="none" w:color="FFFFFF" w:sz="0"/>
            </w:tcBorders>
            <w:shd w:fill="CBA052" w:color="auto" w:val="clear"/>
            <w:tcMar>
              <w:top w:type="dxa" w:w="80"/>
              <w:left w:type="dxa" w:w="220"/>
              <w:bottom w:type="dxa" w:w="80"/>
              <w:right w:type="dxa" w:w="260"/>
            </w:tcMar>
            <w:vAlign w:val="center"/>
          </w:tcPr>
          <w:p>
            <w:pPr>
              <w:spacing w:after="20"/>
            </w:pPr>
            <w:r>
              <w:rPr>
                <w:rFonts w:ascii="Georgia" w:cs="Georgia" w:eastAsia="Georgia" w:hAnsi="Georgia"/>
                <w:b/>
                <w:bCs/>
                <w:color w:val="31261D"/>
                <w:sz w:val="44"/>
                <w:szCs w:val="44"/>
              </w:rPr>
              <w:t xml:space="preserve">AliquantumRx</w:t>
            </w:r>
          </w:p>
          <w:p>
            <w:pPr>
              <w:spacing w:after="50"/>
            </w:pPr>
            <w:r>
              <w:rPr>
                <w:rFonts w:ascii="Georgia" w:cs="Georgia" w:eastAsia="Georgia" w:hAnsi="Georgia"/>
                <w:i/>
                <w:iCs/>
                <w:color w:val="002D72"/>
                <w:sz w:val="17"/>
                <w:szCs w:val="17"/>
              </w:rPr>
              <w:t xml:space="preserve">Curative Single-Dose Oral Therapy for Liver-Stage Malaria</w:t>
            </w:r>
          </w:p>
          <w:p>
            <w:r>
              <w:rPr>
                <w:rFonts w:ascii="Helvetica Neue" w:cs="Helvetica Neue" w:eastAsia="Helvetica Neue" w:hAnsi="Helvetica Neue"/>
                <w:b/>
                <w:bCs/>
                <w:color w:val="FFFFFF"/>
                <w:spacing w:val="8"/>
                <w:sz w:val="13"/>
                <w:szCs w:val="13"/>
                <w:shd w:fill="002D72" w:color="auto" w:val="clear"/>
              </w:rPr>
              <w:t xml:space="preserve">  SEED — $0.65M RAISED  </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53"/>
            <w:tcBorders>
              <w:top w:val="none" w:color="FFFFFF" w:sz="0"/>
              <w:left w:val="none" w:color="FFFFFF" w:sz="0"/>
              <w:bottom w:val="none" w:color="FFFFFF" w:sz="0"/>
              <w:right w:val="none" w:color="FFFFFF" w:sz="0"/>
            </w:tcBorders>
            <w:tcMar>
              <w:top w:type="dxa" w:w="160"/>
              <w:left w:type="dxa" w:w="0"/>
              <w:bottom w:type="dxa" w:w="0"/>
              <w:right w:type="dxa" w:w="220"/>
            </w:tcMar>
          </w:tcPr>
          <w:p>
            <w:pPr>
              <w:pBdr>
                <w:bottom w:val="single" w:color="CBA052" w:sz="10" w:space="2"/>
              </w:pBdr>
              <w:spacing w:after="40" w:before="130"/>
            </w:pPr>
            <w:r>
              <w:rPr>
                <w:rFonts w:ascii="Georgia" w:cs="Georgia" w:eastAsia="Georgia" w:hAnsi="Georgia"/>
                <w:b/>
                <w:bCs/>
                <w:color w:val="002D72"/>
                <w:spacing w:val="14"/>
                <w:sz w:val="19"/>
                <w:szCs w:val="19"/>
              </w:rPr>
              <w:t xml:space="preserve">UNMET CLINICAL NEED</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Dormant liver-stage malaria parasites can cause relapsing infection, but few therapies offer a simple, curative single-dose option with activity against both liver-stage and broader pathogens.</w:t>
            </w:r>
          </w:p>
          <w:p>
            <w:pPr>
              <w:pBdr>
                <w:bottom w:val="single" w:color="CBA052" w:sz="10" w:space="2"/>
              </w:pBdr>
              <w:spacing w:after="40" w:before="130"/>
            </w:pPr>
            <w:r>
              <w:rPr>
                <w:rFonts w:ascii="Georgia" w:cs="Georgia" w:eastAsia="Georgia" w:hAnsi="Georgia"/>
                <w:b/>
                <w:bCs/>
                <w:color w:val="002D72"/>
                <w:spacing w:val="14"/>
                <w:sz w:val="19"/>
                <w:szCs w:val="19"/>
              </w:rPr>
              <w:t xml:space="preserve">THE TECHNOLOGY</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Repurposes </w:t>
            </w:r>
            <w:r>
              <w:rPr>
                <w:rFonts w:ascii="Helvetica Neue" w:cs="Helvetica Neue" w:eastAsia="Helvetica Neue" w:hAnsi="Helvetica Neue"/>
                <w:b/>
                <w:bCs/>
                <w:color w:val="002D72"/>
                <w:sz w:val="17"/>
                <w:szCs w:val="17"/>
              </w:rPr>
              <w:t xml:space="preserve">cethromycin</w:t>
            </w:r>
            <w:r>
              <w:rPr>
                <w:rFonts w:ascii="Helvetica Neue" w:cs="Helvetica Neue" w:eastAsia="Helvetica Neue" w:hAnsi="Helvetica Neue"/>
                <w:color w:val="31261D"/>
                <w:sz w:val="17"/>
                <w:szCs w:val="17"/>
              </w:rPr>
              <w:t xml:space="preserve">, a ketolide antibiotic with in vitro activity against select Gram-positive, Gram-negative, atypical bacteria, and protozoa, as a curative oral single-dose treatment for liver-stage malaria — shown to be superior to azithromycin in this setting.</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Pharmacokinetic studies in mice confirm cethromycin reaches liver drug levels suitable for dormant malaria therapy.</w:t>
            </w:r>
          </w:p>
          <w:p>
            <w:pPr>
              <w:pBdr>
                <w:bottom w:val="single" w:color="CBA052" w:sz="10" w:space="2"/>
              </w:pBdr>
              <w:spacing w:after="40" w:before="130"/>
            </w:pPr>
            <w:r>
              <w:rPr>
                <w:rFonts w:ascii="Georgia" w:cs="Georgia" w:eastAsia="Georgia" w:hAnsi="Georgia"/>
                <w:b/>
                <w:bCs/>
                <w:color w:val="002D72"/>
                <w:spacing w:val="14"/>
                <w:sz w:val="19"/>
                <w:szCs w:val="19"/>
              </w:rPr>
              <w:t xml:space="preserve">MARKET BACKGROUND</w:t>
            </w:r>
          </w:p>
          <w:p>
            <w:pPr>
              <w:spacing w:after="45" w:line="250"/>
            </w:pPr>
            <w:r>
              <w:rPr>
                <w:rFonts w:ascii="Helvetica Neue" w:cs="Helvetica Neue" w:eastAsia="Helvetica Neue" w:hAnsi="Helvetica Neue"/>
                <w:color w:val="31261D"/>
                <w:sz w:val="17"/>
                <w:szCs w:val="17"/>
              </w:rPr>
              <w:t xml:space="preserve">Eligible for Fast Track and Breakthrough Therapy designation, Priority Review, and Tropical Disease Priority Review Voucher (PRV) incentives, plus Orphan Drug Act development incentives and Qualified Infectious Disease Product status (adding 5 years of marketing exclusivity).</w:t>
            </w:r>
          </w:p>
          <w:p>
            <w:pPr>
              <w:pBdr>
                <w:bottom w:val="single" w:color="CBA052" w:sz="10" w:space="2"/>
              </w:pBdr>
              <w:spacing w:after="40" w:before="130"/>
            </w:pPr>
            <w:r>
              <w:rPr>
                <w:rFonts w:ascii="Georgia" w:cs="Georgia" w:eastAsia="Georgia" w:hAnsi="Georgia"/>
                <w:b/>
                <w:bCs/>
                <w:color w:val="002D72"/>
                <w:spacing w:val="14"/>
                <w:sz w:val="19"/>
                <w:szCs w:val="19"/>
              </w:rPr>
              <w:t xml:space="preserve">VALIDATION &amp; TRACTION</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Complete cure of *P. berghei* liver-stage infection demonstrated with a single oral dose in mice, equivalent to the 300 mg/day human dose used in prior pneumonia studies (Sullivan et al., *Antimicrobial Agents and Chemotherapy*, 2025).</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Originally an Abbott-developed antibiotic never approved for human pneumonia use; AliquantumRx (formerly Quantum-Biosciences) received a 2016 TEDCO Maryland Innovation Initiative award to advance the malaria indication.</w:t>
            </w:r>
          </w:p>
          <w:p>
            <w:pPr>
              <w:spacing w:after="40" w:before="20" w:line="240"/>
            </w:pPr>
            <w:r>
              <w:rPr>
                <w:rFonts w:ascii="Helvetica Neue" w:cs="Helvetica Neue" w:eastAsia="Helvetica Neue" w:hAnsi="Helvetica Neue"/>
                <w:i/>
                <w:iCs/>
                <w:color w:val="A6192E"/>
                <w:sz w:val="14"/>
                <w:szCs w:val="14"/>
              </w:rPr>
              <w:t xml:space="preserve">⚑ Source deck page for this technology carries an internal "TO BE VETTED BY FF" annotation and a placeholder "add" under Updates, suggesting the page is an unfinished draft.</w:t>
            </w:r>
          </w:p>
          <w:p>
            <w:pPr>
              <w:pBdr>
                <w:bottom w:val="single" w:color="CBA052" w:sz="10" w:space="2"/>
              </w:pBdr>
              <w:spacing w:after="40" w:before="130"/>
            </w:pPr>
            <w:r>
              <w:rPr>
                <w:rFonts w:ascii="Georgia" w:cs="Georgia" w:eastAsia="Georgia" w:hAnsi="Georgia"/>
                <w:b/>
                <w:bCs/>
                <w:color w:val="002D72"/>
                <w:spacing w:val="14"/>
                <w:sz w:val="19"/>
                <w:szCs w:val="19"/>
              </w:rPr>
              <w:t xml:space="preserve">DEVELOPMENT STATUS</w:t>
            </w:r>
          </w:p>
          <w:p>
            <w:pPr>
              <w:spacing w:after="45" w:line="250"/>
            </w:pPr>
            <w:r>
              <w:rPr>
                <w:rFonts w:ascii="Helvetica Neue" w:cs="Helvetica Neue" w:eastAsia="Helvetica Neue" w:hAnsi="Helvetica Neue"/>
                <w:color w:val="31261D"/>
                <w:sz w:val="17"/>
                <w:szCs w:val="17"/>
              </w:rPr>
              <w:t xml:space="preserve"/>
            </w:r>
            <w:r>
              <w:rPr>
                <w:rFonts w:ascii="Helvetica Neue" w:cs="Helvetica Neue" w:eastAsia="Helvetica Neue" w:hAnsi="Helvetica Neue"/>
                <w:b/>
                <w:bCs/>
                <w:color w:val="002D72"/>
                <w:sz w:val="17"/>
                <w:szCs w:val="17"/>
              </w:rPr>
              <w:t xml:space="preserve">Stage:</w:t>
            </w:r>
            <w:r>
              <w:rPr>
                <w:rFonts w:ascii="Helvetica Neue" w:cs="Helvetica Neue" w:eastAsia="Helvetica Neue" w:hAnsi="Helvetica Neue"/>
                <w:color w:val="31261D"/>
                <w:sz w:val="17"/>
                <w:szCs w:val="17"/>
              </w:rPr>
              <w:t xml:space="preserve"> Seed · </w:t>
            </w:r>
            <w:r>
              <w:rPr>
                <w:rFonts w:ascii="Helvetica Neue" w:cs="Helvetica Neue" w:eastAsia="Helvetica Neue" w:hAnsi="Helvetica Neue"/>
                <w:b/>
                <w:bCs/>
                <w:color w:val="002D72"/>
                <w:sz w:val="17"/>
                <w:szCs w:val="17"/>
              </w:rPr>
              <w:t xml:space="preserve">Raised:</w:t>
            </w:r>
            <w:r>
              <w:rPr>
                <w:rFonts w:ascii="Helvetica Neue" w:cs="Helvetica Neue" w:eastAsia="Helvetica Neue" w:hAnsi="Helvetica Neue"/>
                <w:color w:val="31261D"/>
                <w:sz w:val="17"/>
                <w:szCs w:val="17"/>
              </w:rPr>
              <w:t xml:space="preserve"> $0.65M.</w:t>
            </w:r>
          </w:p>
          <w:p>
            <w:pPr>
              <w:pBdr>
                <w:bottom w:val="single" w:color="CBA052" w:sz="10" w:space="2"/>
              </w:pBdr>
              <w:spacing w:after="40" w:before="130"/>
            </w:pPr>
            <w:r>
              <w:rPr>
                <w:rFonts w:ascii="Georgia" w:cs="Georgia" w:eastAsia="Georgia" w:hAnsi="Georgia"/>
                <w:b/>
                <w:bCs/>
                <w:color w:val="002D72"/>
                <w:spacing w:val="14"/>
                <w:sz w:val="19"/>
                <w:szCs w:val="19"/>
              </w:rPr>
              <w:t xml:space="preserve">INTELLECTUAL PROPERTY</w:t>
            </w:r>
          </w:p>
          <w:p>
            <w:pPr>
              <w:spacing w:after="45" w:line="250"/>
            </w:pPr>
            <w:r>
              <w:rPr>
                <w:rFonts w:ascii="Helvetica Neue" w:cs="Helvetica Neue" w:eastAsia="Helvetica Neue" w:hAnsi="Helvetica Neue"/>
                <w:color w:val="31261D"/>
                <w:sz w:val="17"/>
                <w:szCs w:val="17"/>
              </w:rPr>
              <w:t xml:space="preserve"/>
            </w:r>
            <w:r>
              <w:rPr>
                <w:rFonts w:ascii="Helvetica Neue" w:cs="Helvetica Neue" w:eastAsia="Helvetica Neue" w:hAnsi="Helvetica Neue"/>
                <w:b/>
                <w:bCs/>
                <w:color w:val="002D72"/>
                <w:sz w:val="17"/>
                <w:szCs w:val="17"/>
              </w:rPr>
              <w:t xml:space="preserve">IP Status:</w:t>
            </w:r>
            <w:r>
              <w:rPr>
                <w:rFonts w:ascii="Helvetica Neue" w:cs="Helvetica Neue" w:eastAsia="Helvetica Neue" w:hAnsi="Helvetica Neue"/>
                <w:color w:val="31261D"/>
                <w:sz w:val="17"/>
                <w:szCs w:val="17"/>
              </w:rPr>
              <w:t xml:space="preserve"> Patented.</w:t>
            </w:r>
          </w:p>
        </w:tc>
        <w:tc>
          <w:tcPr>
            <w:tcW w:type="dxa" w:w="4323"/>
            <w:tcBorders>
              <w:top w:val="none" w:color="FFFFFF" w:sz="0"/>
              <w:left w:val="single" w:color="CBA052" w:sz="14"/>
              <w:bottom w:val="none" w:color="FFFFFF" w:sz="0"/>
              <w:right w:val="none" w:color="FFFFFF" w:sz="0"/>
            </w:tcBorders>
            <w:shd w:fill="F4F1EA" w:color="auto" w:val="clear"/>
            <w:tcMar>
              <w:top w:type="dxa" w:w="160"/>
              <w:left w:type="dxa" w:w="240"/>
              <w:bottom w:type="dxa" w:w="0"/>
              <w:right w:type="dxa" w:w="200"/>
            </w:tcMar>
          </w:tcPr>
          <w:p>
            <w:pPr>
              <w:pBdr>
                <w:bottom w:val="single" w:color="CBA052" w:sz="10" w:space="2"/>
              </w:pBdr>
              <w:spacing w:after="50" w:before="0"/>
            </w:pPr>
            <w:r>
              <w:rPr>
                <w:rFonts w:ascii="Georgia" w:cs="Georgia" w:eastAsia="Georgia" w:hAnsi="Georgia"/>
                <w:b/>
                <w:bCs/>
                <w:color w:val="002D72"/>
                <w:spacing w:val="16"/>
                <w:sz w:val="17"/>
                <w:szCs w:val="17"/>
              </w:rPr>
              <w:t xml:space="preserve">PRINCIPAL INVESTIGATORS</w:t>
            </w:r>
          </w:p>
          <w:p>
            <w:pPr>
              <w:spacing w:after="4"/>
            </w:pPr>
            <w:r>
              <w:rPr>
                <w:rFonts w:ascii="Helvetica Neue" w:cs="Helvetica Neue" w:eastAsia="Helvetica Neue" w:hAnsi="Helvetica Neue"/>
                <w:b/>
                <w:bCs/>
                <w:color w:val="31261D"/>
                <w:sz w:val="17"/>
                <w:szCs w:val="17"/>
              </w:rPr>
              <w:t xml:space="preserve">David Sullivan, M.D.</w:t>
            </w:r>
          </w:p>
          <w:p>
            <w:pPr>
              <w:spacing w:after="36"/>
            </w:pPr>
            <w:r>
              <w:rPr>
                <w:rFonts w:ascii="Helvetica Neue" w:cs="Helvetica Neue" w:eastAsia="Helvetica Neue" w:hAnsi="Helvetica Neue"/>
                <w:i/>
                <w:iCs/>
                <w:color w:val="5B5347"/>
                <w:sz w:val="14"/>
                <w:szCs w:val="14"/>
              </w:rPr>
              <w:t xml:space="preserve">Co-Founder &amp; CSO; Professor, Johns Hopkins Bloomberg School of Public Health</w:t>
            </w:r>
          </w:p>
          <w:p>
            <w:pPr>
              <w:spacing w:after="4"/>
            </w:pPr>
            <w:r>
              <w:rPr>
                <w:rFonts w:ascii="Helvetica Neue" w:cs="Helvetica Neue" w:eastAsia="Helvetica Neue" w:hAnsi="Helvetica Neue"/>
                <w:b/>
                <w:bCs/>
                <w:color w:val="31261D"/>
                <w:sz w:val="17"/>
                <w:szCs w:val="17"/>
              </w:rPr>
              <w:t xml:space="preserve">Nikola Kaludov, Ph.D.</w:t>
            </w:r>
          </w:p>
          <w:p>
            <w:pPr>
              <w:spacing w:after="36"/>
            </w:pPr>
            <w:r>
              <w:rPr>
                <w:rFonts w:ascii="Helvetica Neue" w:cs="Helvetica Neue" w:eastAsia="Helvetica Neue" w:hAnsi="Helvetica Neue"/>
                <w:i/>
                <w:iCs/>
                <w:color w:val="5B5347"/>
                <w:sz w:val="14"/>
                <w:szCs w:val="14"/>
              </w:rPr>
              <w:t xml:space="preserve">Co-Founder &amp; President</w:t>
            </w:r>
          </w:p>
          <w:p>
            <w:pPr>
              <w:pBdr>
                <w:bottom w:val="single" w:color="CBA052" w:sz="10" w:space="2"/>
              </w:pBdr>
              <w:spacing w:after="50" w:before="180"/>
            </w:pPr>
            <w:r>
              <w:rPr>
                <w:rFonts w:ascii="Georgia" w:cs="Georgia" w:eastAsia="Georgia" w:hAnsi="Georgia"/>
                <w:b/>
                <w:bCs/>
                <w:color w:val="002D72"/>
                <w:spacing w:val="16"/>
                <w:sz w:val="17"/>
                <w:szCs w:val="17"/>
              </w:rPr>
              <w:t xml:space="preserve">KEY METRICS</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STAGE</w:t>
            </w:r>
            <w:r>
              <w:rPr>
                <w:rFonts w:ascii="Georgia" w:cs="Georgia" w:eastAsia="Georgia" w:hAnsi="Georgia"/>
                <w:b/>
                <w:bCs/>
                <w:color w:val="002D72"/>
                <w:sz w:val="19"/>
                <w:szCs w:val="19"/>
              </w:rPr>
              <w:t xml:space="preserve">	Seed</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RAISED</w:t>
            </w:r>
            <w:r>
              <w:rPr>
                <w:rFonts w:ascii="Georgia" w:cs="Georgia" w:eastAsia="Georgia" w:hAnsi="Georgia"/>
                <w:b/>
                <w:bCs/>
                <w:color w:val="002D72"/>
                <w:sz w:val="19"/>
                <w:szCs w:val="19"/>
              </w:rPr>
              <w:t xml:space="preserve">	$0.65M</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DOSING</w:t>
            </w:r>
            <w:r>
              <w:rPr>
                <w:rFonts w:ascii="Georgia" w:cs="Georgia" w:eastAsia="Georgia" w:hAnsi="Georgia"/>
                <w:b/>
                <w:bCs/>
                <w:color w:val="002D72"/>
                <w:sz w:val="19"/>
                <w:szCs w:val="19"/>
              </w:rPr>
              <w:t xml:space="preserve">	Single oral dose</w:t>
            </w:r>
          </w:p>
          <w:p>
            <w:pPr>
              <w:pBdr>
                <w:top w:val="single" w:color="DCD4C2" w:sz="5" w:space="4"/>
              </w:pBdr>
              <w:spacing w:after="0"/>
            </w:pPr>
          </w:p>
          <w:p>
            <w:pPr>
              <w:pBdr>
                <w:bottom w:val="single" w:color="CBA052" w:sz="10" w:space="2"/>
              </w:pBdr>
              <w:spacing w:after="50" w:before="180"/>
            </w:pPr>
            <w:r>
              <w:rPr>
                <w:rFonts w:ascii="Georgia" w:cs="Georgia" w:eastAsia="Georgia" w:hAnsi="Georgia"/>
                <w:b/>
                <w:bCs/>
                <w:color w:val="002D72"/>
                <w:spacing w:val="16"/>
                <w:sz w:val="17"/>
                <w:szCs w:val="17"/>
              </w:rPr>
              <w:t xml:space="preserve">APPLICATIONS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Curative liver-stage (relapsing) malaria treatment</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Potential broad-spectrum antibacterial/antiprotozoal use</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Tropical and qualified infectious disease indications</w:t>
            </w:r>
          </w:p>
          <w:p>
            <w:pPr>
              <w:pBdr>
                <w:bottom w:val="single" w:color="CBA052" w:sz="10" w:space="2"/>
              </w:pBdr>
              <w:spacing w:after="50" w:before="180"/>
            </w:pPr>
            <w:r>
              <w:rPr>
                <w:rFonts w:ascii="Georgia" w:cs="Georgia" w:eastAsia="Georgia" w:hAnsi="Georgia"/>
                <w:b/>
                <w:bCs/>
                <w:color w:val="002D72"/>
                <w:spacing w:val="16"/>
                <w:sz w:val="17"/>
                <w:szCs w:val="17"/>
              </w:rPr>
              <w:t xml:space="preserve">WHY IT WINS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Repurposed, de-risked molecule </w:t>
            </w:r>
            <w:r>
              <w:rPr>
                <w:rFonts w:ascii="Helvetica Neue" w:cs="Helvetica Neue" w:eastAsia="Helvetica Neue" w:hAnsi="Helvetica Neue"/>
                <w:color w:val="31261D"/>
                <w:sz w:val="16"/>
                <w:szCs w:val="16"/>
              </w:rPr>
              <w:t xml:space="preserve">— builds on an existing antibiotic's known safety profile</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Single-dose simplicity </w:t>
            </w:r>
            <w:r>
              <w:rPr>
                <w:rFonts w:ascii="Helvetica Neue" w:cs="Helvetica Neue" w:eastAsia="Helvetica Neue" w:hAnsi="Helvetica Neue"/>
                <w:color w:val="31261D"/>
                <w:sz w:val="16"/>
                <w:szCs w:val="16"/>
              </w:rPr>
              <w:t xml:space="preserve">— curative in one oral dose vs. multi-day regimens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Stacked regulatory incentives </w:t>
            </w:r>
            <w:r>
              <w:rPr>
                <w:rFonts w:ascii="Helvetica Neue" w:cs="Helvetica Neue" w:eastAsia="Helvetica Neue" w:hAnsi="Helvetica Neue"/>
                <w:color w:val="31261D"/>
                <w:sz w:val="16"/>
                <w:szCs w:val="16"/>
              </w:rPr>
              <w:t xml:space="preserve">— Fast Track, Priority Review, PRV, and exclusivity extensions all in play</w:t>
            </w:r>
          </w:p>
          <w:p>
            <w:pPr>
              <w:pBdr>
                <w:bottom w:val="single" w:color="CBA052" w:sz="10" w:space="2"/>
              </w:pBdr>
              <w:spacing w:after="50" w:before="180"/>
            </w:pPr>
            <w:r>
              <w:rPr>
                <w:rFonts w:ascii="Georgia" w:cs="Georgia" w:eastAsia="Georgia" w:hAnsi="Georgia"/>
                <w:b/>
                <w:bCs/>
                <w:color w:val="002D72"/>
                <w:spacing w:val="16"/>
                <w:sz w:val="17"/>
                <w:szCs w:val="17"/>
              </w:rPr>
              <w:t xml:space="preserve">FOR MORE INFORMATION, CONTACT</w:t>
            </w:r>
          </w:p>
          <w:p>
            <w:pPr>
              <w:spacing w:after="10"/>
            </w:pPr>
            <w:r>
              <w:rPr>
                <w:rFonts w:ascii="Helvetica Neue" w:cs="Helvetica Neue" w:eastAsia="Helvetica Neue" w:hAnsi="Helvetica Neue"/>
                <w:b/>
                <w:bCs/>
                <w:color w:val="31261D"/>
                <w:sz w:val="16"/>
                <w:szCs w:val="16"/>
              </w:rPr>
              <w:t xml:space="preserve">Johns Hopkins Technology Ventures</w:t>
            </w:r>
          </w:p>
          <w:p>
            <w:pPr>
              <w:spacing w:after="50"/>
            </w:pPr>
            <w:r>
              <w:rPr>
                <w:rFonts w:ascii="Helvetica Neue" w:cs="Helvetica Neue" w:eastAsia="Helvetica Neue" w:hAnsi="Helvetica Neue"/>
                <w:color w:val="002D72"/>
                <w:sz w:val="16"/>
                <w:szCs w:val="16"/>
              </w:rPr>
              <w:t xml:space="preserve">ventures.jhu.edu</w:t>
            </w:r>
          </w:p>
          <w:p>
            <w:pPr>
              <w:spacing w:after="40" w:before="20" w:line="240"/>
            </w:pPr>
            <w:r>
              <w:rPr>
                <w:rFonts w:ascii="Helvetica Neue" w:cs="Helvetica Neue" w:eastAsia="Helvetica Neue" w:hAnsi="Helvetica Neue"/>
                <w:i/>
                <w:iCs/>
                <w:color w:val="A6192E"/>
                <w:sz w:val="14"/>
                <w:szCs w:val="14"/>
              </w:rPr>
              <w:t xml:space="preserve">⚑ No named JHTV licensing/business development contact for this technology was provided in the source deck.</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20" w:hRule="exact"/>
        </w:trPr>
        <w:tc>
          <w:tcPr>
            <w:tcW w:type="dxa" w:w="3792"/>
            <w:tcBorders>
              <w:top w:val="none" w:color="FFFFFF" w:sz="0"/>
              <w:left w:val="none" w:color="FFFFFF" w:sz="0"/>
              <w:bottom w:val="none" w:color="FFFFFF" w:sz="0"/>
              <w:right w:val="none" w:color="FFFFFF" w:sz="0"/>
            </w:tcBorders>
            <w:shd w:fill="002D72" w:color="auto" w:val="clear"/>
            <w:tcMar>
              <w:top w:type="dxa" w:w="60"/>
              <w:left w:type="dxa" w:w="260"/>
              <w:bottom w:type="dxa" w:w="60"/>
              <w:right w:type="dxa" w:w="0"/>
            </w:tcMar>
            <w:vAlign w:val="center"/>
          </w:tcPr>
          <w:p>
            <w:r>
              <w:rPr>
                <w:rFonts w:ascii="Helvetica Neue" w:cs="Helvetica Neue" w:eastAsia="Helvetica Neue" w:hAnsi="Helvetica Neue"/>
                <w:color w:val="68ACE5"/>
                <w:sz w:val="13"/>
                <w:szCs w:val="13"/>
              </w:rPr>
              <w:t xml:space="preserve">JHTV Ref: </w:t>
            </w:r>
            <w:r>
              <w:rPr>
                <w:rFonts w:ascii="Helvetica Neue" w:cs="Helvetica Neue" w:eastAsia="Helvetica Neue" w:hAnsi="Helvetica Neue"/>
                <w:color w:val="FFFFFF"/>
                <w:sz w:val="13"/>
                <w:szCs w:val="13"/>
              </w:rPr>
              <w:t xml:space="preserve">C13100</w:t>
            </w:r>
          </w:p>
        </w:tc>
        <w:tc>
          <w:tcPr>
            <w:tcW w:type="dxa" w:w="3792"/>
            <w:tcBorders>
              <w:top w:val="none" w:color="FFFFFF" w:sz="0"/>
              <w:left w:val="none" w:color="FFFFFF" w:sz="0"/>
              <w:bottom w:val="none" w:color="FFFFFF" w:sz="0"/>
              <w:right w:val="none" w:color="FFFFFF" w:sz="0"/>
            </w:tcBorders>
            <w:shd w:fill="002D72" w:color="auto" w:val="clear"/>
            <w:tcMar>
              <w:top w:type="dxa" w:w="60"/>
              <w:left w:type="dxa" w:w="0"/>
              <w:bottom w:type="dxa" w:w="60"/>
              <w:right w:type="dxa" w:w="0"/>
            </w:tcMar>
            <w:vAlign w:val="center"/>
          </w:tcPr>
          <w:p>
            <w:pPr>
              <w:jc w:val="center"/>
            </w:pPr>
            <w:r>
              <w:rPr>
                <w:rFonts w:ascii="Helvetica Neue" w:cs="Helvetica Neue" w:eastAsia="Helvetica Neue" w:hAnsi="Helvetica Neue"/>
                <w:color w:val="FFFFFF"/>
                <w:sz w:val="13"/>
                <w:szCs w:val="13"/>
              </w:rPr>
              <w:t xml:space="preserve">1</w:t>
            </w:r>
          </w:p>
        </w:tc>
        <w:tc>
          <w:tcPr>
            <w:tcW w:type="dxa" w:w="3792"/>
            <w:tcBorders>
              <w:top w:val="none" w:color="FFFFFF" w:sz="0"/>
              <w:left w:val="none" w:color="FFFFFF" w:sz="0"/>
              <w:bottom w:val="none" w:color="FFFFFF" w:sz="0"/>
              <w:right w:val="none" w:color="FFFFFF" w:sz="0"/>
            </w:tcBorders>
            <w:shd w:fill="002D72" w:color="auto" w:val="clear"/>
            <w:tcMar>
              <w:top w:type="dxa" w:w="60"/>
              <w:left w:type="dxa" w:w="0"/>
              <w:bottom w:type="dxa" w:w="60"/>
              <w:right w:type="dxa" w:w="260"/>
            </w:tcMar>
            <w:vAlign w:val="center"/>
          </w:tcPr>
          <w:p>
            <w:pPr>
              <w:jc w:val="right"/>
            </w:pPr>
            <w:r>
              <w:rPr>
                <w:rFonts w:ascii="Helvetica Neue" w:cs="Helvetica Neue" w:eastAsia="Helvetica Neue" w:hAnsi="Helvetica Neue"/>
                <w:color w:val="FFFFFF"/>
                <w:sz w:val="13"/>
                <w:szCs w:val="13"/>
              </w:rPr>
              <w:t xml:space="preserve">ventures.jhu.edu</w:t>
            </w:r>
          </w:p>
        </w:tc>
      </w:tr>
    </w:tbl>
    <w:sectPr>
      <w:pgSz w:w="12240" w:h="15840" w:orient="portrait"/>
      <w:pgMar w:top="432" w:right="432" w:bottom="432" w:left="43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2026-06-24T00:30:35.457Z</dcterms:created>
  <dcterms:modified xsi:type="dcterms:W3CDTF">2026-06-24T00:30:35.457Z</dcterms:modified>
</cp:coreProperties>
</file>

<file path=docProps/custom.xml><?xml version="1.0" encoding="utf-8"?>
<Properties xmlns="http://schemas.openxmlformats.org/officeDocument/2006/custom-properties" xmlns:vt="http://schemas.openxmlformats.org/officeDocument/2006/docPropsVTypes"/>
</file>