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120" w:hRule="exact"/>
        </w:trPr>
        <w:tc>
          <w:tcPr>
            <w:tcW w:type="dxa" w:w="62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260"/>
              <w:bottom w:type="dxa" w:w="80"/>
              <w:right w:type="dxa" w:w="0"/>
            </w:tcMar>
            <w:vAlign w:val="center"/>
          </w:tcPr>
          <w:p>
            <w:pPr>
              <w:spacing w:after="3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50"/>
                <w:szCs w:val="50"/>
              </w:rPr>
              <w:t xml:space="preserve">JHTV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68ACE5"/>
                <w:spacing w:val="16"/>
                <w:sz w:val="15"/>
                <w:szCs w:val="15"/>
              </w:rPr>
              <w:t xml:space="preserve">JOHNS HOPKINS TECHNOLOGY VENTURES</w:t>
            </w:r>
          </w:p>
        </w:tc>
        <w:tc>
          <w:tcPr>
            <w:tcW w:type="dxa" w:w="51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0"/>
              <w:bottom w:type="dxa" w:w="80"/>
              <w:right w:type="dxa" w:w="260"/>
            </w:tcMar>
            <w:vAlign w:val="center"/>
          </w:tcPr>
          <w:p>
            <w:pPr>
              <w:pBdr>
                <w:bottom w:val="single" w:color="CBA052" w:sz="6" w:space="2"/>
              </w:pBdr>
              <w:spacing w:after="50"/>
              <w:jc w:val="right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pacing w:val="20"/>
                <w:sz w:val="16"/>
                <w:szCs w:val="16"/>
              </w:rPr>
              <w:t xml:space="preserve">TECHNOLOGY OPPORTUNITY BRIEF</w:t>
            </w:r>
          </w:p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6"/>
                <w:szCs w:val="16"/>
              </w:rPr>
              <w:t xml:space="preserve">ventures.jhu.edu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080" w:hRule="exact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160"/>
              <w:bottom w:type="dxa" w:w="80"/>
              <w:right w:type="dxa" w:w="60"/>
            </w:tcMar>
            <w:vAlign w:val="center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DIGITAL HEALTH</w:t>
            </w:r>
          </w:p>
          <w:p>
            <w:pPr>
              <w:spacing w:after="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DRUG DISCOVERY</w:t>
            </w:r>
          </w:p>
        </w:tc>
        <w:tc>
          <w:tcPr>
            <w:tcW w:type="dxa" w:w="98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BA052" w:color="auto" w:val="clear"/>
            <w:tcMar>
              <w:top w:type="dxa" w:w="80"/>
              <w:left w:type="dxa" w:w="220"/>
              <w:bottom w:type="dxa" w:w="80"/>
              <w:right w:type="dxa" w:w="260"/>
            </w:tcMar>
            <w:vAlign w:val="center"/>
          </w:tcPr>
          <w:p>
            <w:pPr>
              <w:spacing w:after="20"/>
            </w:pPr>
            <w:r>
              <w:rPr>
                <w:rFonts w:ascii="Georgia" w:cs="Georgia" w:eastAsia="Georgia" w:hAnsi="Georgia"/>
                <w:b/>
                <w:bCs/>
                <w:color w:val="31261D"/>
                <w:sz w:val="44"/>
                <w:szCs w:val="44"/>
              </w:rPr>
              <w:t xml:space="preserve">Astropath</w:t>
            </w:r>
          </w:p>
          <w:p>
            <w:pPr>
              <w:spacing w:after="50"/>
            </w:pPr>
            <w:r>
              <w:rPr>
                <w:rFonts w:ascii="Georgia" w:cs="Georgia" w:eastAsia="Georgia" w:hAnsi="Georgia"/>
                <w:i/>
                <w:iCs/>
                <w:color w:val="002D72"/>
                <w:sz w:val="17"/>
                <w:szCs w:val="17"/>
              </w:rPr>
              <w:t xml:space="preserve">AI Spatial Biology Platform Built on Sloan Digital Sky Survey Image Science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8"/>
                <w:sz w:val="13"/>
                <w:szCs w:val="13"/>
                <w:shd w:fill="002D72" w:color="auto" w:val="clear"/>
              </w:rPr>
              <w:t xml:space="preserve">  NEWCO — PRE-FUNDING  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0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0"/>
              <w:bottom w:type="dxa" w:w="0"/>
              <w:right w:type="dxa" w:w="220"/>
            </w:tcMar>
          </w:tcPr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UNMET CLINICAL NEED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Identifying which cancer patients will respond to PD-1-based immunotherapy remains largely guesswork — existing IHC/IF staining methods don't scale to the multi-parameter, single-cell resolution needed to find reliable predictive biomarkers.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Without better biomarkers, oncologists and drug developers can't reliably tell in advance who will benefit from costly immunotherapies.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THE TECHNOLOGY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A platform for multispectral imaging and mapping of multiple parameters in human tissue at single-cell resolution, built on standard IHC/IF protocols.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Built on Sloan Digital Sky Survey image-processing techniques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— the same field-alignment, calibration, and phenotyping methods JHU astrophysicist Alex Szalay used to map billions of celestial objects are repurposed to map cellular signatures in tumor tissue.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Establishes a relational database for spatial and architectural analysis of the tumor microenvironment.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MARKET BACKGROUND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Spatial biology and digital pathology are becoming standard tools for biomarker-driven immunotherapy selection, and platforms that scale beyond a handful of markers are in active demand from pharma.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VALIDATION &amp; TRACTION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Proof-of-concept published in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Berry et al., Science Advances/Science (2021)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, and in a 2021 PubMed-indexed study ("Analysis of multispectral imaging with the AstroPath platform informs efficacy of PD-1 blockade") establishing a predictive phenotype of immunotherapy response.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Sponsored research agreements with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Quanterix and AstraZeneca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; ongoing discussions with multiple additional groups.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Winner, Life Sciences 2021 Award at the Falling Walls Science Summit; platform now being applied to additional tumor types and indications.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DEVELOPMENT STATUS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Stage: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NewCo ·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Funding: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N/A — still in tech-transfer/licensing stage with active pharma SRAs rather than a funded independent spinout.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INTELLECTUAL PROPERTY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IP Status: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Patent(s) pending on image-processing methods for mIF/IHC analysis. Source deck does not give application numbers; confirm current filing status and numbers with JHTV before sharing externally.</w:t>
            </w:r>
          </w:p>
        </w:tc>
        <w:tc>
          <w:tcPr>
            <w:tcW w:type="dxa" w:w="4323"/>
            <w:tcBorders>
              <w:top w:val="none" w:color="FFFFFF" w:sz="0"/>
              <w:left w:val="single" w:color="CBA052" w:sz="14"/>
              <w:bottom w:val="none" w:color="FFFFFF" w:sz="0"/>
              <w:right w:val="none" w:color="FFFFFF" w:sz="0"/>
            </w:tcBorders>
            <w:shd w:fill="F4F1EA" w:color="auto" w:val="clear"/>
            <w:tcMar>
              <w:top w:type="dxa" w:w="160"/>
              <w:left w:type="dxa" w:w="240"/>
              <w:bottom w:type="dxa" w:w="0"/>
              <w:right w:type="dxa" w:w="200"/>
            </w:tcMar>
          </w:tcPr>
          <w:p>
            <w:pPr>
              <w:pBdr>
                <w:bottom w:val="single" w:color="CBA052" w:sz="10" w:space="2"/>
              </w:pBdr>
              <w:spacing w:after="50" w:before="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PRINCIPAL INVESTIGATORS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Alex Szalay, Ph.D.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Bloomberg Distinguished Professor of Astronomy &amp; Computer Science, JHU — Co-Inventor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Janis Taube, M.D., M.Sc.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Director of Dermatopathology; Co-Director, TME Core, Bloomberg~Kimmel Institute for Cancer Immunotherapy, JHU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KEY METRICS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STAGE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NewCo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FUNDING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N/A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CELLS/SPECIMEN QA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~25,000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IP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Patent(s) Pending</w:t>
            </w:r>
          </w:p>
          <w:p>
            <w:pPr>
              <w:pBdr>
                <w:top w:val="single" w:color="DCD4C2" w:sz="5" w:space="4"/>
              </w:pBdr>
              <w:spacing w:after="0"/>
            </w:pP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APPLICATIONS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Predictive biomarker discovery for cancer immunotherapy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Pharma sponsored-research partnerships (target &amp; biomarker validation)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Expansion to additional tumor types and indications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WHY IT WINS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Astronomy pedigree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repurposes Sloan Digital Sky Survey image science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Peer-reviewed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validated in Science and PubMed-indexed studies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Pharma traction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active SRAs with Quanterix and AstraZeneca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FOR MORE INFORMATION, CONTACT</w:t>
            </w:r>
          </w:p>
          <w:p>
            <w:pPr>
              <w:spacing w:after="10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6"/>
                <w:szCs w:val="16"/>
              </w:rPr>
              <w:t xml:space="preserve">Johns Hopkins Technology Ventures</w:t>
            </w:r>
          </w:p>
          <w:p>
            <w:pPr>
              <w:spacing w:after="50"/>
            </w:pPr>
            <w:r>
              <w:rPr>
                <w:rFonts w:ascii="Helvetica Neue" w:cs="Helvetica Neue" w:eastAsia="Helvetica Neue" w:hAnsi="Helvetica Neue"/>
                <w:color w:val="002D72"/>
                <w:sz w:val="16"/>
                <w:szCs w:val="16"/>
              </w:rPr>
              <w:t xml:space="preserve">ventures.jhu.edu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No named JHTV licensing/business development contact for this technology was provided in the source deck.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rHeight w:val="420" w:hRule="exact"/>
        </w:trPr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260"/>
              <w:bottom w:type="dxa" w:w="60"/>
              <w:right w:type="dxa" w:w="0"/>
            </w:tcMar>
            <w:vAlign w:val="center"/>
          </w:tcPr>
          <w:p>
            <w:r>
              <w:rPr>
                <w:rFonts w:ascii="Helvetica Neue" w:cs="Helvetica Neue" w:eastAsia="Helvetica Neue" w:hAnsi="Helvetica Neue"/>
                <w:color w:val="68ACE5"/>
                <w:sz w:val="13"/>
                <w:szCs w:val="13"/>
              </w:rPr>
              <w:t xml:space="preserve">JHTV Ref: </w:t>
            </w: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C13942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1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260"/>
            </w:tcMar>
            <w:vAlign w:val="center"/>
          </w:tcPr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ventures.jhu.edu</w:t>
            </w:r>
          </w:p>
        </w:tc>
      </w:tr>
    </w:tbl>
    <w:sectPr>
      <w:pgSz w:w="12240" w:h="15840" w:orient="portrait"/>
      <w:pgMar w:top="432" w:right="432" w:bottom="432" w:left="43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2026-06-23T23:37:04.015Z</dcterms:created>
  <dcterms:modified xsi:type="dcterms:W3CDTF">2026-06-23T23:37:04.015Z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