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120" w:hRule="exact"/>
        </w:trPr>
        <w:tc>
          <w:tcPr>
            <w:tcW w:type="dxa" w:w="6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260"/>
              <w:bottom w:type="dxa" w:w="80"/>
              <w:right w:type="dxa" w:w="0"/>
            </w:tcMar>
            <w:vAlign w:val="center"/>
          </w:tcPr>
          <w:p>
            <w:pPr>
              <w:spacing w:after="3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50"/>
                <w:szCs w:val="50"/>
              </w:rPr>
              <w:t xml:space="preserve">JHTV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68ACE5"/>
                <w:spacing w:val="16"/>
                <w:sz w:val="15"/>
                <w:szCs w:val="15"/>
              </w:rPr>
              <w:t xml:space="preserve">JOHNS HOPKINS TECHNOLOGY VENTURES</w:t>
            </w:r>
          </w:p>
        </w:tc>
        <w:tc>
          <w:tcPr>
            <w:tcW w:type="dxa" w:w="5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0"/>
              <w:bottom w:type="dxa" w:w="80"/>
              <w:right w:type="dxa" w:w="260"/>
            </w:tcMar>
            <w:vAlign w:val="center"/>
          </w:tcPr>
          <w:p>
            <w:pPr>
              <w:pBdr>
                <w:bottom w:val="single" w:color="CBA052" w:sz="6" w:space="2"/>
              </w:pBdr>
              <w:spacing w:after="50"/>
              <w:jc w:val="right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pacing w:val="20"/>
                <w:sz w:val="16"/>
                <w:szCs w:val="16"/>
              </w:rPr>
              <w:t xml:space="preserve">TECHNOLOGY OPPORTUNITY BRIEF</w:t>
            </w:r>
          </w:p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6"/>
                <w:szCs w:val="16"/>
              </w:rPr>
              <w:t xml:space="preserve">ventures.jhu.edu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1080" w:hRule="exact"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80"/>
              <w:left w:type="dxa" w:w="160"/>
              <w:bottom w:type="dxa" w:w="80"/>
              <w:right w:type="dxa" w:w="60"/>
            </w:tcMar>
            <w:vAlign w:val="center"/>
          </w:tcPr>
          <w:p>
            <w:pPr>
              <w:spacing w:after="4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AGRICULTURAL TECH</w:t>
            </w:r>
          </w:p>
          <w:p>
            <w:pPr>
              <w:spacing w:after="0"/>
            </w:pPr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6"/>
                <w:sz w:val="13"/>
                <w:szCs w:val="13"/>
              </w:rPr>
              <w:t xml:space="preserve">BIOTECHNOLOGY</w:t>
            </w:r>
          </w:p>
        </w:tc>
        <w:tc>
          <w:tcPr>
            <w:tcW w:type="dxa" w:w="987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BA052" w:color="auto" w:val="clear"/>
            <w:tcMar>
              <w:top w:type="dxa" w:w="80"/>
              <w:left w:type="dxa" w:w="220"/>
              <w:bottom w:type="dxa" w:w="80"/>
              <w:right w:type="dxa" w:w="260"/>
            </w:tcMar>
            <w:vAlign w:val="center"/>
          </w:tcPr>
          <w:p>
            <w:pPr>
              <w:spacing w:after="20"/>
            </w:pPr>
            <w:r>
              <w:rPr>
                <w:rFonts w:ascii="Georgia" w:cs="Georgia" w:eastAsia="Georgia" w:hAnsi="Georgia"/>
                <w:b/>
                <w:bCs/>
                <w:color w:val="31261D"/>
                <w:sz w:val="44"/>
                <w:szCs w:val="44"/>
              </w:rPr>
              <w:t xml:space="preserve">Deep Root Biolabs</w:t>
            </w:r>
          </w:p>
          <w:p>
            <w:pPr>
              <w:spacing w:after="50"/>
            </w:pPr>
            <w:r>
              <w:rPr>
                <w:rFonts w:ascii="Georgia" w:cs="Georgia" w:eastAsia="Georgia" w:hAnsi="Georgia"/>
                <w:i/>
                <w:iCs/>
                <w:color w:val="002D72"/>
                <w:sz w:val="17"/>
                <w:szCs w:val="17"/>
              </w:rPr>
              <w:t xml:space="preserve">Engineered Endophyte Platform for Rapid Plant Genetic Enhancement</w:t>
            </w:r>
          </w:p>
          <w:p>
            <w:r>
              <w:rPr>
                <w:rFonts w:ascii="Helvetica Neue" w:cs="Helvetica Neue" w:eastAsia="Helvetica Neue" w:hAnsi="Helvetica Neue"/>
                <w:b/>
                <w:bCs/>
                <w:color w:val="FFFFFF"/>
                <w:spacing w:val="8"/>
                <w:sz w:val="13"/>
                <w:szCs w:val="13"/>
                <w:shd w:fill="002D72" w:color="auto" w:val="clear"/>
              </w:rPr>
              <w:t xml:space="preserve">  PRE-SEED — $550K RAISED  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0"/>
              <w:right w:type="dxa" w:w="220"/>
            </w:tcMar>
          </w:tcPr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UNMET CLINICAL NEED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Plant disease ($137.5B), biofuel production ($100B), critical mineral mining ($6B in rare earths), and land pollution remediation ($111.5B) each represent large global challenges with few scalable solutions, while traditional plant genetic engineering is costly and takes years.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THE TECHNOLOGY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 biotechnology platform uses engineered endophytes — microbes that live within plant roots — to deliver targeted biomolecules into plants, enabling rapid, precise modification within weeks across virtually any plant species, without genetically modifying the plant itself.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MARKET BACKGROUND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Applications span agriculture, biofuel feedstock improvement, phytomining of critical minerals, and pollutant breakdown using the same plant-agnostic delivery platform.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VALIDATION &amp; TRACTION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Founded by former Johns Hopkins Applied Physics Laboratory (APL) researchers John Sittmann, Ph.D., a molecular plant biologist, and Tom Curtis, Ph.D.; launched with support from Johns Hopkins APL.</w:t>
            </w:r>
          </w:p>
          <w:p>
            <w:pPr>
              <w:spacing w:after="42" w:line="250"/>
              <w:ind w:left="220" w:hanging="22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7"/>
                <w:szCs w:val="17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Accepted into IndieBio Accelerator's Fall 2025 cohort; engineered endophyte efficacy has been established in ongoing greenhouse experiments, with focus now on market research and business development.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DEVELOPMENT STATUS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Stage: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Pre-Seed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Received: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$550K ·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Raising: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$750K.</w:t>
            </w:r>
          </w:p>
          <w:p>
            <w:pPr>
              <w:pBdr>
                <w:bottom w:val="single" w:color="CBA052" w:sz="10" w:space="2"/>
              </w:pBdr>
              <w:spacing w:after="40" w:before="13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4"/>
                <w:sz w:val="19"/>
                <w:szCs w:val="19"/>
              </w:rPr>
              <w:t xml:space="preserve">INTELLECTUAL PROPERTY</w:t>
            </w:r>
          </w:p>
          <w:p>
            <w:pPr>
              <w:spacing w:after="45" w:line="250"/>
            </w:pP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/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7"/>
                <w:szCs w:val="17"/>
              </w:rPr>
              <w:t xml:space="preserve">IP Status:</w:t>
            </w:r>
            <w:r>
              <w:rPr>
                <w:rFonts w:ascii="Helvetica Neue" w:cs="Helvetica Neue" w:eastAsia="Helvetica Neue" w:hAnsi="Helvetica Neue"/>
                <w:color w:val="31261D"/>
                <w:sz w:val="17"/>
                <w:szCs w:val="17"/>
              </w:rPr>
              <w:t xml:space="preserve"> Patent Pending.</w:t>
            </w:r>
          </w:p>
        </w:tc>
        <w:tc>
          <w:tcPr>
            <w:tcW w:type="dxa" w:w="4323"/>
            <w:tcBorders>
              <w:top w:val="none" w:color="FFFFFF" w:sz="0"/>
              <w:left w:val="single" w:color="CBA052" w:sz="14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60"/>
              <w:left w:type="dxa" w:w="240"/>
              <w:bottom w:type="dxa" w:w="0"/>
              <w:right w:type="dxa" w:w="200"/>
            </w:tcMar>
          </w:tcPr>
          <w:p>
            <w:pPr>
              <w:pBdr>
                <w:bottom w:val="single" w:color="CBA052" w:sz="10" w:space="2"/>
              </w:pBdr>
              <w:spacing w:after="50" w:before="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PRINCIPAL INVESTIGATORS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John Sittmann,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CEO; molecular plant biologist, formerly Johns Hopkins Applied Physics Laboratory</w:t>
            </w:r>
          </w:p>
          <w:p>
            <w:pPr>
              <w:spacing w:after="4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7"/>
                <w:szCs w:val="17"/>
              </w:rPr>
              <w:t xml:space="preserve">Tom Curtis, Ph.D.</w:t>
            </w:r>
          </w:p>
          <w:p>
            <w:pPr>
              <w:spacing w:after="36"/>
            </w:pPr>
            <w:r>
              <w:rPr>
                <w:rFonts w:ascii="Helvetica Neue" w:cs="Helvetica Neue" w:eastAsia="Helvetica Neue" w:hAnsi="Helvetica Neue"/>
                <w:i/>
                <w:iCs/>
                <w:color w:val="5B5347"/>
                <w:sz w:val="14"/>
                <w:szCs w:val="14"/>
              </w:rPr>
              <w:t xml:space="preserve">Co-Founder &amp; CTO, Deep Root Biolabs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KEY METRICS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RECEIVED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$550K</w:t>
            </w:r>
          </w:p>
          <w:p>
            <w:pPr>
              <w:pBdr>
                <w:top w:val="single" w:color="DCD4C2" w:sz="5" w:space="4"/>
              </w:pBdr>
              <w:tabs>
                <w:tab w:val="right" w:pos="3563"/>
              </w:tabs>
              <w:spacing w:after="45" w:before="45"/>
            </w:pPr>
            <w:r>
              <w:rPr>
                <w:rFonts w:ascii="Helvetica Neue" w:cs="Helvetica Neue" w:eastAsia="Helvetica Neue" w:hAnsi="Helvetica Neue"/>
                <w:color w:val="5B5347"/>
                <w:spacing w:val="6"/>
                <w:sz w:val="13"/>
                <w:szCs w:val="13"/>
              </w:rPr>
              <w:t xml:space="preserve">RAISING</w:t>
            </w:r>
            <w:r>
              <w:rPr>
                <w:rFonts w:ascii="Georgia" w:cs="Georgia" w:eastAsia="Georgia" w:hAnsi="Georgia"/>
                <w:b/>
                <w:bCs/>
                <w:color w:val="002D72"/>
                <w:sz w:val="19"/>
                <w:szCs w:val="19"/>
              </w:rPr>
              <w:t xml:space="preserve">	$750K</w:t>
            </w:r>
          </w:p>
          <w:p>
            <w:pPr>
              <w:pBdr>
                <w:top w:val="single" w:color="DCD4C2" w:sz="5" w:space="4"/>
              </w:pBdr>
              <w:spacing w:after="0"/>
            </w:pP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APPLICATIONS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Crop disease and drought resistance (agriculture)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Biofuel feedstock yield improvement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Phytomining of rare-earth and critical minerals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Pollutant/oil-spill bioremediation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WHY IT WINS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Plant-agnostic platform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same endophyte delivery system works across species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Weeks, not years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far faster than traditional plant genetic engineering</w:t>
            </w:r>
          </w:p>
          <w:p>
            <w:pPr>
              <w:spacing w:after="70" w:line="250"/>
              <w:ind w:left="200" w:hanging="200"/>
            </w:pPr>
            <w:r>
              <w:rPr>
                <w:rFonts w:ascii="Helvetica Neue" w:cs="Helvetica Neue" w:eastAsia="Helvetica Neue" w:hAnsi="Helvetica Neue"/>
                <w:b/>
                <w:bCs/>
                <w:color w:val="CBA052"/>
                <w:sz w:val="16"/>
                <w:szCs w:val="16"/>
              </w:rPr>
              <w:t xml:space="preserve">■  </w:t>
            </w:r>
            <w:r>
              <w:rPr>
                <w:rFonts w:ascii="Helvetica Neue" w:cs="Helvetica Neue" w:eastAsia="Helvetica Neue" w:hAnsi="Helvetica Neue"/>
                <w:b/>
                <w:bCs/>
                <w:color w:val="002D72"/>
                <w:sz w:val="16"/>
                <w:szCs w:val="16"/>
              </w:rPr>
              <w:t xml:space="preserve">Born out of Johns Hopkins APL </w:t>
            </w:r>
            <w:r>
              <w:rPr>
                <w:rFonts w:ascii="Helvetica Neue" w:cs="Helvetica Neue" w:eastAsia="Helvetica Neue" w:hAnsi="Helvetica Neue"/>
                <w:color w:val="31261D"/>
                <w:sz w:val="16"/>
                <w:szCs w:val="16"/>
              </w:rPr>
              <w:t xml:space="preserve">— applied research pedigree</w:t>
            </w:r>
          </w:p>
          <w:p>
            <w:pPr>
              <w:pBdr>
                <w:bottom w:val="single" w:color="CBA052" w:sz="10" w:space="2"/>
              </w:pBdr>
              <w:spacing w:after="50" w:before="180"/>
            </w:pPr>
            <w:r>
              <w:rPr>
                <w:rFonts w:ascii="Georgia" w:cs="Georgia" w:eastAsia="Georgia" w:hAnsi="Georgia"/>
                <w:b/>
                <w:bCs/>
                <w:color w:val="002D72"/>
                <w:spacing w:val="16"/>
                <w:sz w:val="17"/>
                <w:szCs w:val="17"/>
              </w:rPr>
              <w:t xml:space="preserve">FOR MORE INFORMATION, CONTACT</w:t>
            </w:r>
          </w:p>
          <w:p>
            <w:pPr>
              <w:spacing w:after="10"/>
            </w:pPr>
            <w:r>
              <w:rPr>
                <w:rFonts w:ascii="Helvetica Neue" w:cs="Helvetica Neue" w:eastAsia="Helvetica Neue" w:hAnsi="Helvetica Neue"/>
                <w:b/>
                <w:bCs/>
                <w:color w:val="31261D"/>
                <w:sz w:val="16"/>
                <w:szCs w:val="16"/>
              </w:rPr>
              <w:t xml:space="preserve">Johns Hopkins Technology Ventures</w:t>
            </w:r>
          </w:p>
          <w:p>
            <w:pPr>
              <w:spacing w:after="50"/>
            </w:pPr>
            <w:r>
              <w:rPr>
                <w:rFonts w:ascii="Helvetica Neue" w:cs="Helvetica Neue" w:eastAsia="Helvetica Neue" w:hAnsi="Helvetica Neue"/>
                <w:color w:val="002D72"/>
                <w:sz w:val="16"/>
                <w:szCs w:val="16"/>
              </w:rPr>
              <w:t xml:space="preserve">ventures.jhu.edu</w:t>
            </w:r>
          </w:p>
          <w:p>
            <w:pPr>
              <w:spacing w:after="40" w:before="20" w:line="240"/>
            </w:pPr>
            <w:r>
              <w:rPr>
                <w:rFonts w:ascii="Helvetica Neue" w:cs="Helvetica Neue" w:eastAsia="Helvetica Neue" w:hAnsi="Helvetica Neue"/>
                <w:i/>
                <w:iCs/>
                <w:color w:val="A6192E"/>
                <w:sz w:val="14"/>
                <w:szCs w:val="14"/>
              </w:rPr>
              <w:t xml:space="preserve">⚑ No JHTV case/reference code or named licensing/BD contact was provided in the source deck.</w:t>
            </w:r>
          </w:p>
        </w:tc>
      </w:tr>
    </w:tbl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1137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rHeight w:val="420" w:hRule="exact"/>
        </w:trPr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260"/>
              <w:bottom w:type="dxa" w:w="60"/>
              <w:right w:type="dxa" w:w="0"/>
            </w:tcMar>
            <w:vAlign w:val="center"/>
          </w:tcPr>
          <w:p>
            <w:r>
              <w:rPr>
                <w:rFonts w:ascii="Helvetica Neue" w:cs="Helvetica Neue" w:eastAsia="Helvetica Neue" w:hAnsi="Helvetica Neue"/>
                <w:color w:val="68ACE5"/>
                <w:sz w:val="13"/>
                <w:szCs w:val="13"/>
              </w:rPr>
              <w:t xml:space="preserve">JHTV Ref: </w:t>
            </w: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[not in source]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1</w:t>
            </w:r>
          </w:p>
        </w:tc>
        <w:tc>
          <w:tcPr>
            <w:tcW w:type="dxa" w:w="379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2D72" w:color="auto" w:val="clear"/>
            <w:tcMar>
              <w:top w:type="dxa" w:w="60"/>
              <w:left w:type="dxa" w:w="0"/>
              <w:bottom w:type="dxa" w:w="60"/>
              <w:right w:type="dxa" w:w="260"/>
            </w:tcMar>
            <w:vAlign w:val="center"/>
          </w:tcPr>
          <w:p>
            <w:pPr>
              <w:jc w:val="right"/>
            </w:pPr>
            <w:r>
              <w:rPr>
                <w:rFonts w:ascii="Helvetica Neue" w:cs="Helvetica Neue" w:eastAsia="Helvetica Neue" w:hAnsi="Helvetica Neue"/>
                <w:color w:val="FFFFFF"/>
                <w:sz w:val="13"/>
                <w:szCs w:val="13"/>
              </w:rPr>
              <w:t xml:space="preserve">ventures.jhu.edu</w:t>
            </w:r>
          </w:p>
        </w:tc>
      </w:tr>
    </w:tbl>
    <w:sectPr>
      <w:pgSz w:w="12240" w:h="15840" w:orient="portrait"/>
      <w:pgMar w:top="432" w:right="432" w:bottom="432" w:left="43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2026-06-24T14:43:42.156Z</dcterms:created>
  <dcterms:modified xsi:type="dcterms:W3CDTF">2026-06-24T14:43:42.156Z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