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1120" w:hRule="exact"/>
        </w:trPr>
        <w:tc>
          <w:tcPr>
            <w:tcW w:type="dxa" w:w="62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260"/>
              <w:bottom w:type="dxa" w:w="80"/>
              <w:right w:type="dxa" w:w="0"/>
            </w:tcMar>
            <w:vAlign w:val="center"/>
          </w:tcPr>
          <w:p>
            <w:pPr>
              <w:spacing w:after="3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50"/>
                <w:szCs w:val="50"/>
              </w:rPr>
              <w:t xml:space="preserve">JHTV</w:t>
            </w:r>
          </w:p>
          <w:p>
            <w:r>
              <w:rPr>
                <w:rFonts w:ascii="Helvetica Neue" w:cs="Helvetica Neue" w:eastAsia="Helvetica Neue" w:hAnsi="Helvetica Neue"/>
                <w:b/>
                <w:bCs/>
                <w:color w:val="68ACE5"/>
                <w:spacing w:val="16"/>
                <w:sz w:val="15"/>
                <w:szCs w:val="15"/>
              </w:rPr>
              <w:t xml:space="preserve">JOHNS HOPKINS TECHNOLOGY VENTURES</w:t>
            </w:r>
          </w:p>
        </w:tc>
        <w:tc>
          <w:tcPr>
            <w:tcW w:type="dxa" w:w="51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0"/>
              <w:bottom w:type="dxa" w:w="80"/>
              <w:right w:type="dxa" w:w="260"/>
            </w:tcMar>
            <w:vAlign w:val="center"/>
          </w:tcPr>
          <w:p>
            <w:pPr>
              <w:pBdr>
                <w:bottom w:val="single" w:color="CBA052" w:sz="6" w:space="2"/>
              </w:pBdr>
              <w:spacing w:after="50"/>
              <w:jc w:val="right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pacing w:val="20"/>
                <w:sz w:val="16"/>
                <w:szCs w:val="16"/>
              </w:rPr>
              <w:t xml:space="preserve">TECHNOLOGY OPPORTUNITY BRIEF</w:t>
            </w:r>
          </w:p>
          <w:p>
            <w:pPr>
              <w:jc w:val="right"/>
            </w:pPr>
            <w:r>
              <w:rPr>
                <w:rFonts w:ascii="Helvetica Neue" w:cs="Helvetica Neue" w:eastAsia="Helvetica Neue" w:hAnsi="Helvetica Neue"/>
                <w:color w:val="FFFFFF"/>
                <w:sz w:val="16"/>
                <w:szCs w:val="16"/>
              </w:rPr>
              <w:t xml:space="preserve">ventures.jhu.edu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1080" w:hRule="exact"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160"/>
              <w:bottom w:type="dxa" w:w="80"/>
              <w:right w:type="dxa" w:w="60"/>
            </w:tcMar>
            <w:vAlign w:val="center"/>
          </w:tcPr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6"/>
                <w:sz w:val="13"/>
                <w:szCs w:val="13"/>
              </w:rPr>
              <w:t xml:space="preserve">DIAGNOSTICS</w:t>
            </w:r>
          </w:p>
          <w:p>
            <w:pPr>
              <w:spacing w:after="0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6"/>
                <w:sz w:val="13"/>
                <w:szCs w:val="13"/>
              </w:rPr>
              <w:t xml:space="preserve">ONCOLOGY</w:t>
            </w:r>
          </w:p>
        </w:tc>
        <w:tc>
          <w:tcPr>
            <w:tcW w:type="dxa" w:w="98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BA052" w:color="auto" w:val="clear"/>
            <w:tcMar>
              <w:top w:type="dxa" w:w="80"/>
              <w:left w:type="dxa" w:w="220"/>
              <w:bottom w:type="dxa" w:w="80"/>
              <w:right w:type="dxa" w:w="260"/>
            </w:tcMar>
            <w:vAlign w:val="center"/>
          </w:tcPr>
          <w:p>
            <w:pPr>
              <w:spacing w:after="20"/>
            </w:pPr>
            <w:r>
              <w:rPr>
                <w:rFonts w:ascii="Georgia" w:cs="Georgia" w:eastAsia="Georgia" w:hAnsi="Georgia"/>
                <w:b/>
                <w:bCs/>
                <w:color w:val="31261D"/>
                <w:sz w:val="44"/>
                <w:szCs w:val="44"/>
              </w:rPr>
              <w:t xml:space="preserve">Delfi Diagnostics</w:t>
            </w:r>
          </w:p>
          <w:p>
            <w:pPr>
              <w:spacing w:after="50"/>
            </w:pPr>
            <w:r>
              <w:rPr>
                <w:rFonts w:ascii="Georgia" w:cs="Georgia" w:eastAsia="Georgia" w:hAnsi="Georgia"/>
                <w:i/>
                <w:iCs/>
                <w:color w:val="002D72"/>
                <w:sz w:val="17"/>
                <w:szCs w:val="17"/>
              </w:rPr>
              <w:t xml:space="preserve">Machine-Learning Liquid Biopsy Platform for Early Cancer Detection</w:t>
            </w:r>
          </w:p>
          <w:p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8"/>
                <w:sz w:val="13"/>
                <w:szCs w:val="13"/>
                <w:shd w:fill="002D72" w:color="auto" w:val="clear"/>
              </w:rPr>
              <w:t xml:space="preserve">  SERIES B — $330.5M RAISED  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0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0"/>
              <w:bottom w:type="dxa" w:w="0"/>
              <w:right w:type="dxa" w:w="220"/>
            </w:tcMar>
          </w:tcPr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UNMET CLINICAL NEED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Millions of high-risk individuals are never screened for cancer because existing detection methods are too costly or inaccessible, allowing cancers to be caught at later, less treatable stages.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THE TECHNOLOGY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The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FirstLook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lung cancer detection kit applies machine learning to genome-wide fragmentation patterns of cell-free DNA, extracting orders of magnitude more signal than conventional sequencing-based liquid biopsy, to flag early-stage cancer from a standard blood draw.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MARKET BACKGROUND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Runs on commonly used lab instruments, making population-scale early cancer screening economically feasible rather than requiring specialized infrastructure.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VALIDATION &amp; TRACTION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Demonstrated high sensitivity and specificity for lung cancer in a prospective cohort (Mathios et al., 2021, *Nature Communications*).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Announced a collaboration with OSF HealthCare to improve lung cancer screening rates; Susan Tousi appointed Chief Executive Officer.</w:t>
            </w:r>
          </w:p>
          <w:p>
            <w:pPr>
              <w:spacing w:after="40" w:before="20" w:line="240"/>
            </w:pPr>
            <w:r>
              <w:rPr>
                <w:rFonts w:ascii="Helvetica Neue" w:cs="Helvetica Neue" w:eastAsia="Helvetica Neue" w:hAnsi="Helvetica Neue"/>
                <w:i/>
                <w:iCs/>
                <w:color w:val="A6192E"/>
                <w:sz w:val="14"/>
                <w:szCs w:val="14"/>
              </w:rPr>
              <w:t xml:space="preserve">⚑ Public sourcing identifies Victor E. Velculescu, M.D., Ph.D. and Robert B. Scharpf, Ph.D., both of Johns Hopkins, as the scientific co-founders who developed the DELFI approach in 2019 — neither is named in the source deck's contact line.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DEVELOPMENT STATUS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/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Stage: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Series B ·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Raised: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$330.5M.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INTELLECTUAL PROPERTY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/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IP Status: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Patented.</w:t>
            </w:r>
          </w:p>
        </w:tc>
        <w:tc>
          <w:tcPr>
            <w:tcW w:type="dxa" w:w="4323"/>
            <w:tcBorders>
              <w:top w:val="none" w:color="FFFFFF" w:sz="0"/>
              <w:left w:val="single" w:color="CBA052" w:sz="14"/>
              <w:bottom w:val="none" w:color="FFFFFF" w:sz="0"/>
              <w:right w:val="none" w:color="FFFFFF" w:sz="0"/>
            </w:tcBorders>
            <w:shd w:fill="F4F1EA" w:color="auto" w:val="clear"/>
            <w:tcMar>
              <w:top w:type="dxa" w:w="160"/>
              <w:left w:type="dxa" w:w="240"/>
              <w:bottom w:type="dxa" w:w="0"/>
              <w:right w:type="dxa" w:w="200"/>
            </w:tcMar>
          </w:tcPr>
          <w:p>
            <w:pPr>
              <w:pBdr>
                <w:bottom w:val="single" w:color="CBA052" w:sz="10" w:space="2"/>
              </w:pBdr>
              <w:spacing w:after="50" w:before="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PRINCIPAL INVESTIGATORS</w:t>
            </w:r>
          </w:p>
          <w:p>
            <w:pPr>
              <w:spacing w:after="4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7"/>
                <w:szCs w:val="17"/>
              </w:rPr>
              <w:t xml:space="preserve">Victor E. Velculescu, M.D., Ph.D.</w:t>
            </w:r>
          </w:p>
          <w:p>
            <w:pPr>
              <w:spacing w:after="36"/>
            </w:pPr>
            <w:r>
              <w:rPr>
                <w:rFonts w:ascii="Helvetica Neue" w:cs="Helvetica Neue" w:eastAsia="Helvetica Neue" w:hAnsi="Helvetica Neue"/>
                <w:i/>
                <w:iCs/>
                <w:color w:val="5B5347"/>
                <w:sz w:val="14"/>
                <w:szCs w:val="14"/>
              </w:rPr>
              <w:t xml:space="preserve">Co-Founder; Professor of Oncology &amp; Co-Director of Cancer Biology, Johns Hopkins University School of Medicine</w:t>
            </w:r>
          </w:p>
          <w:p>
            <w:pPr>
              <w:spacing w:after="4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7"/>
                <w:szCs w:val="17"/>
              </w:rPr>
              <w:t xml:space="preserve">Robert B. Scharpf, Ph.D.</w:t>
            </w:r>
          </w:p>
          <w:p>
            <w:pPr>
              <w:spacing w:after="36"/>
            </w:pPr>
            <w:r>
              <w:rPr>
                <w:rFonts w:ascii="Helvetica Neue" w:cs="Helvetica Neue" w:eastAsia="Helvetica Neue" w:hAnsi="Helvetica Neue"/>
                <w:i/>
                <w:iCs/>
                <w:color w:val="5B5347"/>
                <w:sz w:val="14"/>
                <w:szCs w:val="14"/>
              </w:rPr>
              <w:t xml:space="preserve">Co-Founder; Associate Professor of Oncology, Johns Hopkins University School of Medicine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KEY METRICS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STAGE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Series B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RAISED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$330.5M</w:t>
            </w:r>
          </w:p>
          <w:p>
            <w:pPr>
              <w:pBdr>
                <w:top w:val="single" w:color="DCD4C2" w:sz="5" w:space="4"/>
              </w:pBdr>
              <w:spacing w:after="0"/>
            </w:pP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APPLICATIONS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Early-stage lung cancer screening (FirstLook, lead indication)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Population-scale cancer screening for high-risk individuals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Broader multi-cancer early detection (pipeline)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WHY IT WINS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Published validation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Nature Communications and follow-on cohort studies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Runs on existing lab gear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no specialized equipment needed at scale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Veteran founder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Velculescu previously co-founded Personal Genome Diagnostics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FOR MORE INFORMATION, CONTACT</w:t>
            </w:r>
          </w:p>
          <w:p>
            <w:pPr>
              <w:spacing w:after="10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6"/>
                <w:szCs w:val="16"/>
              </w:rPr>
              <w:t xml:space="preserve">Johns Hopkins Technology Ventures</w:t>
            </w:r>
          </w:p>
          <w:p>
            <w:pPr>
              <w:spacing w:after="50"/>
            </w:pPr>
            <w:r>
              <w:rPr>
                <w:rFonts w:ascii="Helvetica Neue" w:cs="Helvetica Neue" w:eastAsia="Helvetica Neue" w:hAnsi="Helvetica Neue"/>
                <w:color w:val="002D72"/>
                <w:sz w:val="16"/>
                <w:szCs w:val="16"/>
              </w:rPr>
              <w:t xml:space="preserve">ventures.jhu.edu</w:t>
            </w:r>
          </w:p>
          <w:p>
            <w:pPr>
              <w:spacing w:after="40" w:before="20" w:line="240"/>
            </w:pPr>
            <w:r>
              <w:rPr>
                <w:rFonts w:ascii="Helvetica Neue" w:cs="Helvetica Neue" w:eastAsia="Helvetica Neue" w:hAnsi="Helvetica Neue"/>
                <w:i/>
                <w:iCs/>
                <w:color w:val="A6192E"/>
                <w:sz w:val="14"/>
                <w:szCs w:val="14"/>
              </w:rPr>
              <w:t xml:space="preserve">⚑ No JHTV case/reference code or named licensing/BD contact was provided in the source deck.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rHeight w:val="420" w:hRule="exact"/>
        </w:trPr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260"/>
              <w:bottom w:type="dxa" w:w="60"/>
              <w:right w:type="dxa" w:w="0"/>
            </w:tcMar>
            <w:vAlign w:val="center"/>
          </w:tcPr>
          <w:p>
            <w:r>
              <w:rPr>
                <w:rFonts w:ascii="Helvetica Neue" w:cs="Helvetica Neue" w:eastAsia="Helvetica Neue" w:hAnsi="Helvetica Neue"/>
                <w:color w:val="68ACE5"/>
                <w:sz w:val="13"/>
                <w:szCs w:val="13"/>
              </w:rPr>
              <w:t xml:space="preserve">JHTV Ref: </w:t>
            </w: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[not in source]</w:t>
            </w:r>
          </w:p>
        </w:tc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1</w:t>
            </w:r>
          </w:p>
        </w:tc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0"/>
              <w:bottom w:type="dxa" w:w="60"/>
              <w:right w:type="dxa" w:w="260"/>
            </w:tcMar>
            <w:vAlign w:val="center"/>
          </w:tcPr>
          <w:p>
            <w:pPr>
              <w:jc w:val="right"/>
            </w:pP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ventures.jhu.edu</w:t>
            </w:r>
          </w:p>
        </w:tc>
      </w:tr>
    </w:tbl>
    <w:sectPr>
      <w:pgSz w:w="12240" w:h="15840" w:orient="portrait"/>
      <w:pgMar w:top="432" w:right="432" w:bottom="432" w:left="43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2026-06-24T14:43:41.340Z</dcterms:created>
  <dcterms:modified xsi:type="dcterms:W3CDTF">2026-06-24T14:43:41.340Z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