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1120" w:hRule="exact"/>
        </w:trPr>
        <w:tc>
          <w:tcPr>
            <w:tcW w:type="dxa" w:w="6257"/>
            <w:tcBorders>
              <w:top w:val="none" w:color="FFFFFF" w:sz="0"/>
              <w:left w:val="none" w:color="FFFFFF" w:sz="0"/>
              <w:bottom w:val="none" w:color="FFFFFF" w:sz="0"/>
              <w:right w:val="none" w:color="FFFFFF" w:sz="0"/>
            </w:tcBorders>
            <w:shd w:fill="002D72" w:color="auto" w:val="clear"/>
            <w:tcMar>
              <w:top w:type="dxa" w:w="80"/>
              <w:left w:type="dxa" w:w="260"/>
              <w:bottom w:type="dxa" w:w="80"/>
              <w:right w:type="dxa" w:w="0"/>
            </w:tcMar>
            <w:vAlign w:val="center"/>
          </w:tcPr>
          <w:p>
            <w:pPr>
              <w:spacing w:after="30"/>
            </w:pPr>
            <w:r>
              <w:rPr>
                <w:rFonts w:ascii="Georgia" w:cs="Georgia" w:eastAsia="Georgia" w:hAnsi="Georgia"/>
                <w:b/>
                <w:bCs/>
                <w:color w:val="FFFFFF"/>
                <w:sz w:val="50"/>
                <w:szCs w:val="50"/>
              </w:rPr>
              <w:t xml:space="preserve">JHTV</w:t>
            </w:r>
          </w:p>
          <w:p>
            <w:r>
              <w:rPr>
                <w:rFonts w:ascii="Helvetica Neue" w:cs="Helvetica Neue" w:eastAsia="Helvetica Neue" w:hAnsi="Helvetica Neue"/>
                <w:b/>
                <w:bCs/>
                <w:color w:val="68ACE5"/>
                <w:spacing w:val="16"/>
                <w:sz w:val="15"/>
                <w:szCs w:val="15"/>
              </w:rPr>
              <w:t xml:space="preserve">JOHNS HOPKINS TECHNOLOGY VENTURES</w:t>
            </w:r>
          </w:p>
        </w:tc>
        <w:tc>
          <w:tcPr>
            <w:tcW w:type="dxa" w:w="5119"/>
            <w:tcBorders>
              <w:top w:val="none" w:color="FFFFFF" w:sz="0"/>
              <w:left w:val="none" w:color="FFFFFF" w:sz="0"/>
              <w:bottom w:val="none" w:color="FFFFFF" w:sz="0"/>
              <w:right w:val="none" w:color="FFFFFF" w:sz="0"/>
            </w:tcBorders>
            <w:shd w:fill="002D72" w:color="auto" w:val="clear"/>
            <w:tcMar>
              <w:top w:type="dxa" w:w="80"/>
              <w:left w:type="dxa" w:w="0"/>
              <w:bottom w:type="dxa" w:w="80"/>
              <w:right w:type="dxa" w:w="260"/>
            </w:tcMar>
            <w:vAlign w:val="center"/>
          </w:tcPr>
          <w:p>
            <w:pPr>
              <w:pBdr>
                <w:bottom w:val="single" w:color="CBA052" w:sz="6" w:space="2"/>
              </w:pBdr>
              <w:spacing w:after="50"/>
              <w:jc w:val="right"/>
            </w:pPr>
            <w:r>
              <w:rPr>
                <w:rFonts w:ascii="Helvetica Neue" w:cs="Helvetica Neue" w:eastAsia="Helvetica Neue" w:hAnsi="Helvetica Neue"/>
                <w:b/>
                <w:bCs/>
                <w:color w:val="CBA052"/>
                <w:spacing w:val="20"/>
                <w:sz w:val="16"/>
                <w:szCs w:val="16"/>
              </w:rPr>
              <w:t xml:space="preserve">TECHNOLOGY OPPORTUNITY BRIEF</w:t>
            </w:r>
          </w:p>
          <w:p>
            <w:pPr>
              <w:jc w:val="right"/>
            </w:pPr>
            <w:r>
              <w:rPr>
                <w:rFonts w:ascii="Helvetica Neue" w:cs="Helvetica Neue" w:eastAsia="Helvetica Neue" w:hAnsi="Helvetica Neue"/>
                <w:color w:val="FFFFFF"/>
                <w:sz w:val="16"/>
                <w:szCs w:val="16"/>
              </w:rPr>
              <w:t xml:space="preserve">ventures.jhu.edu</w:t>
            </w:r>
          </w:p>
        </w:tc>
      </w:tr>
    </w:tbl>
    <w:p>
      <w:pPr>
        <w:spacing w:after="0" w:before="0" w:line="20" w:lineRule="exact"/>
      </w:pPr>
      <w:r>
        <w:rPr>
          <w:sz w:val="2"/>
          <w:szCs w:val="2"/>
        </w:rPr>
        <w:t xml:space="preserve"/>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1080" w:hRule="exact"/>
        </w:trPr>
        <w:tc>
          <w:tcPr>
            <w:tcW w:type="dxa" w:w="1500"/>
            <w:tcBorders>
              <w:top w:val="none" w:color="FFFFFF" w:sz="0"/>
              <w:left w:val="none" w:color="FFFFFF" w:sz="0"/>
              <w:bottom w:val="none" w:color="FFFFFF" w:sz="0"/>
              <w:right w:val="none" w:color="FFFFFF" w:sz="0"/>
            </w:tcBorders>
            <w:shd w:fill="002D72" w:color="auto" w:val="clear"/>
            <w:tcMar>
              <w:top w:type="dxa" w:w="80"/>
              <w:left w:type="dxa" w:w="160"/>
              <w:bottom w:type="dxa" w:w="80"/>
              <w:right w:type="dxa" w:w="60"/>
            </w:tcMar>
            <w:vAlign w:val="center"/>
          </w:tcPr>
          <w:p>
            <w:pPr>
              <w:spacing w:after="40"/>
            </w:pPr>
            <w:r>
              <w:rPr>
                <w:rFonts w:ascii="Helvetica Neue" w:cs="Helvetica Neue" w:eastAsia="Helvetica Neue" w:hAnsi="Helvetica Neue"/>
                <w:b/>
                <w:bCs/>
                <w:color w:val="FFFFFF"/>
                <w:spacing w:val="6"/>
                <w:sz w:val="13"/>
                <w:szCs w:val="13"/>
              </w:rPr>
              <w:t xml:space="preserve">DIAGNOSTICS</w:t>
            </w:r>
          </w:p>
          <w:p>
            <w:pPr>
              <w:spacing w:after="0"/>
            </w:pPr>
            <w:r>
              <w:rPr>
                <w:rFonts w:ascii="Helvetica Neue" w:cs="Helvetica Neue" w:eastAsia="Helvetica Neue" w:hAnsi="Helvetica Neue"/>
                <w:b/>
                <w:bCs/>
                <w:color w:val="FFFFFF"/>
                <w:spacing w:val="6"/>
                <w:sz w:val="13"/>
                <w:szCs w:val="13"/>
              </w:rPr>
              <w:t xml:space="preserve">GLOBAL HEALTH</w:t>
            </w:r>
          </w:p>
        </w:tc>
        <w:tc>
          <w:tcPr>
            <w:tcW w:type="dxa" w:w="9876"/>
            <w:tcBorders>
              <w:top w:val="none" w:color="FFFFFF" w:sz="0"/>
              <w:left w:val="none" w:color="FFFFFF" w:sz="0"/>
              <w:bottom w:val="none" w:color="FFFFFF" w:sz="0"/>
              <w:right w:val="none" w:color="FFFFFF" w:sz="0"/>
            </w:tcBorders>
            <w:shd w:fill="CBA052" w:color="auto" w:val="clear"/>
            <w:tcMar>
              <w:top w:type="dxa" w:w="80"/>
              <w:left w:type="dxa" w:w="220"/>
              <w:bottom w:type="dxa" w:w="80"/>
              <w:right w:type="dxa" w:w="260"/>
            </w:tcMar>
            <w:vAlign w:val="center"/>
          </w:tcPr>
          <w:p>
            <w:pPr>
              <w:spacing w:after="20"/>
            </w:pPr>
            <w:r>
              <w:rPr>
                <w:rFonts w:ascii="Georgia" w:cs="Georgia" w:eastAsia="Georgia" w:hAnsi="Georgia"/>
                <w:b/>
                <w:bCs/>
                <w:color w:val="31261D"/>
                <w:sz w:val="44"/>
                <w:szCs w:val="44"/>
              </w:rPr>
              <w:t xml:space="preserve">Erada Technology Alliance</w:t>
            </w:r>
          </w:p>
          <w:p>
            <w:pPr>
              <w:spacing w:after="50"/>
            </w:pPr>
            <w:r>
              <w:rPr>
                <w:rFonts w:ascii="Georgia" w:cs="Georgia" w:eastAsia="Georgia" w:hAnsi="Georgia"/>
                <w:i/>
                <w:iCs/>
                <w:color w:val="002D72"/>
                <w:sz w:val="17"/>
                <w:szCs w:val="17"/>
              </w:rPr>
              <w:t xml:space="preserve">Saliva-Based Rapid Test for Asymptomatic and Pre-Symptomatic Malaria</w:t>
            </w:r>
          </w:p>
          <w:p>
            <w:r>
              <w:rPr>
                <w:rFonts w:ascii="Helvetica Neue" w:cs="Helvetica Neue" w:eastAsia="Helvetica Neue" w:hAnsi="Helvetica Neue"/>
                <w:b/>
                <w:bCs/>
                <w:color w:val="FFFFFF"/>
                <w:spacing w:val="8"/>
                <w:sz w:val="13"/>
                <w:szCs w:val="13"/>
                <w:shd w:fill="002D72" w:color="auto" w:val="clear"/>
              </w:rPr>
              <w:t xml:space="preserve">  SEED — $320K RAISED  </w:t>
            </w:r>
          </w:p>
        </w:tc>
      </w:tr>
    </w:tbl>
    <w:p>
      <w:pPr>
        <w:spacing w:after="0" w:before="0" w:line="20" w:lineRule="exact"/>
      </w:pPr>
      <w:r>
        <w:rPr>
          <w:sz w:val="2"/>
          <w:szCs w:val="2"/>
        </w:rPr>
        <w:t xml:space="preserve"/>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53"/>
            <w:tcBorders>
              <w:top w:val="none" w:color="FFFFFF" w:sz="0"/>
              <w:left w:val="none" w:color="FFFFFF" w:sz="0"/>
              <w:bottom w:val="none" w:color="FFFFFF" w:sz="0"/>
              <w:right w:val="none" w:color="FFFFFF" w:sz="0"/>
            </w:tcBorders>
            <w:tcMar>
              <w:top w:type="dxa" w:w="160"/>
              <w:left w:type="dxa" w:w="0"/>
              <w:bottom w:type="dxa" w:w="0"/>
              <w:right w:type="dxa" w:w="220"/>
            </w:tcMar>
          </w:tcPr>
          <w:p>
            <w:pPr>
              <w:pBdr>
                <w:bottom w:val="single" w:color="CBA052" w:sz="10" w:space="2"/>
              </w:pBdr>
              <w:spacing w:after="40" w:before="130"/>
            </w:pPr>
            <w:r>
              <w:rPr>
                <w:rFonts w:ascii="Georgia" w:cs="Georgia" w:eastAsia="Georgia" w:hAnsi="Georgia"/>
                <w:b/>
                <w:bCs/>
                <w:color w:val="002D72"/>
                <w:spacing w:val="14"/>
                <w:sz w:val="19"/>
                <w:szCs w:val="19"/>
              </w:rPr>
              <w:t xml:space="preserve">UNMET CLINICAL NEED</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An estimated 240 million malaria cases occur each year (CDC); PCR remains the most accurate test but is costly, slow, and largely inaccessible in rural Africa, letting transmission continue undetected.</w:t>
            </w:r>
          </w:p>
          <w:p>
            <w:pPr>
              <w:pBdr>
                <w:bottom w:val="single" w:color="CBA052" w:sz="10" w:space="2"/>
              </w:pBdr>
              <w:spacing w:after="40" w:before="130"/>
            </w:pPr>
            <w:r>
              <w:rPr>
                <w:rFonts w:ascii="Georgia" w:cs="Georgia" w:eastAsia="Georgia" w:hAnsi="Georgia"/>
                <w:b/>
                <w:bCs/>
                <w:color w:val="002D72"/>
                <w:spacing w:val="14"/>
                <w:sz w:val="19"/>
                <w:szCs w:val="19"/>
              </w:rPr>
              <w:t xml:space="preserve">THE TECHNOLOGY</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
            </w:r>
            <w:r>
              <w:rPr>
                <w:rFonts w:ascii="Helvetica Neue" w:cs="Helvetica Neue" w:eastAsia="Helvetica Neue" w:hAnsi="Helvetica Neue"/>
                <w:b/>
                <w:bCs/>
                <w:color w:val="002D72"/>
                <w:sz w:val="17"/>
                <w:szCs w:val="17"/>
              </w:rPr>
              <w:t xml:space="preserve">SMAART</w:t>
            </w:r>
            <w:r>
              <w:rPr>
                <w:rFonts w:ascii="Helvetica Neue" w:cs="Helvetica Neue" w:eastAsia="Helvetica Neue" w:hAnsi="Helvetica Neue"/>
                <w:color w:val="31261D"/>
                <w:sz w:val="17"/>
                <w:szCs w:val="17"/>
              </w:rPr>
              <w:t xml:space="preserve"> (Saliva-based Malaria Asymptomatic &amp; Asexual Rapid Test) is a highly sensitive, non-invasive, low-cost rapid diagnostic that detects malaria precursors — gametocyte and sub-microscopic asexual-stage parasitemia — from saliva rather than blood, identifying infection before symptoms appear.</w:t>
            </w:r>
          </w:p>
          <w:p>
            <w:pPr>
              <w:pBdr>
                <w:bottom w:val="single" w:color="CBA052" w:sz="10" w:space="2"/>
              </w:pBdr>
              <w:spacing w:after="40" w:before="130"/>
            </w:pPr>
            <w:r>
              <w:rPr>
                <w:rFonts w:ascii="Georgia" w:cs="Georgia" w:eastAsia="Georgia" w:hAnsi="Georgia"/>
                <w:b/>
                <w:bCs/>
                <w:color w:val="002D72"/>
                <w:spacing w:val="14"/>
                <w:sz w:val="19"/>
                <w:szCs w:val="19"/>
              </w:rPr>
              <w:t xml:space="preserve">MARKET BACKGROUND</w:t>
            </w:r>
          </w:p>
          <w:p>
            <w:pPr>
              <w:spacing w:after="45" w:line="250"/>
            </w:pPr>
            <w:r>
              <w:rPr>
                <w:rFonts w:ascii="Helvetica Neue" w:cs="Helvetica Neue" w:eastAsia="Helvetica Neue" w:hAnsi="Helvetica Neue"/>
                <w:color w:val="31261D"/>
                <w:sz w:val="17"/>
                <w:szCs w:val="17"/>
              </w:rPr>
              <w:t xml:space="preserve">Positioned as a field-deployable alternative to PCR for malaria elimination programs across sub-Saharan Africa.</w:t>
            </w:r>
          </w:p>
          <w:p>
            <w:pPr>
              <w:pBdr>
                <w:bottom w:val="single" w:color="CBA052" w:sz="10" w:space="2"/>
              </w:pBdr>
              <w:spacing w:after="40" w:before="130"/>
            </w:pPr>
            <w:r>
              <w:rPr>
                <w:rFonts w:ascii="Georgia" w:cs="Georgia" w:eastAsia="Georgia" w:hAnsi="Georgia"/>
                <w:b/>
                <w:bCs/>
                <w:color w:val="002D72"/>
                <w:spacing w:val="14"/>
                <w:sz w:val="19"/>
                <w:szCs w:val="19"/>
              </w:rPr>
              <w:t xml:space="preserve">VALIDATION &amp; TRACTION</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The underlying technology was developed in partnership with the Dinglasan Malaria Laboratory, originally established in 2009 within the Johns Hopkins Malaria Research Institute (the lab relocated to the University of Florida in 2016).</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Backed by a €288K grant from De Beers and earlier Gates Foundation funding (2014); partnered with Fusion Antibodies on diagnostic development.</w:t>
            </w:r>
          </w:p>
          <w:p>
            <w:pPr>
              <w:spacing w:after="40" w:before="20" w:line="240"/>
            </w:pPr>
            <w:r>
              <w:rPr>
                <w:rFonts w:ascii="Helvetica Neue" w:cs="Helvetica Neue" w:eastAsia="Helvetica Neue" w:hAnsi="Helvetica Neue"/>
                <w:i/>
                <w:iCs/>
                <w:color w:val="A6192E"/>
                <w:sz w:val="14"/>
                <w:szCs w:val="14"/>
              </w:rPr>
              <w:t xml:space="preserve">⚑ The source deck page carries an internal "TO BE VETTED BY FF" annotation, suggesting it was not finalized when the deck was compiled. The Dinglasan lab relocated from JHU to U. Florida in 2016 — confirm the current JHU faculty PI of record, if any.</w:t>
            </w:r>
          </w:p>
          <w:p>
            <w:pPr>
              <w:pBdr>
                <w:bottom w:val="single" w:color="CBA052" w:sz="10" w:space="2"/>
              </w:pBdr>
              <w:spacing w:after="40" w:before="130"/>
            </w:pPr>
            <w:r>
              <w:rPr>
                <w:rFonts w:ascii="Georgia" w:cs="Georgia" w:eastAsia="Georgia" w:hAnsi="Georgia"/>
                <w:b/>
                <w:bCs/>
                <w:color w:val="002D72"/>
                <w:spacing w:val="14"/>
                <w:sz w:val="19"/>
                <w:szCs w:val="19"/>
              </w:rPr>
              <w:t xml:space="preserve">DEVELOPMENT STATUS</w:t>
            </w:r>
          </w:p>
          <w:p>
            <w:pPr>
              <w:spacing w:after="45" w:line="250"/>
            </w:pPr>
            <w:r>
              <w:rPr>
                <w:rFonts w:ascii="Helvetica Neue" w:cs="Helvetica Neue" w:eastAsia="Helvetica Neue" w:hAnsi="Helvetica Neue"/>
                <w:color w:val="31261D"/>
                <w:sz w:val="17"/>
                <w:szCs w:val="17"/>
              </w:rPr>
              <w:t xml:space="preserve"/>
            </w:r>
            <w:r>
              <w:rPr>
                <w:rFonts w:ascii="Helvetica Neue" w:cs="Helvetica Neue" w:eastAsia="Helvetica Neue" w:hAnsi="Helvetica Neue"/>
                <w:b/>
                <w:bCs/>
                <w:color w:val="002D72"/>
                <w:sz w:val="17"/>
                <w:szCs w:val="17"/>
              </w:rPr>
              <w:t xml:space="preserve">Stage:</w:t>
            </w:r>
            <w:r>
              <w:rPr>
                <w:rFonts w:ascii="Helvetica Neue" w:cs="Helvetica Neue" w:eastAsia="Helvetica Neue" w:hAnsi="Helvetica Neue"/>
                <w:color w:val="31261D"/>
                <w:sz w:val="17"/>
                <w:szCs w:val="17"/>
              </w:rPr>
              <w:t xml:space="preserve"> Seed · </w:t>
            </w:r>
            <w:r>
              <w:rPr>
                <w:rFonts w:ascii="Helvetica Neue" w:cs="Helvetica Neue" w:eastAsia="Helvetica Neue" w:hAnsi="Helvetica Neue"/>
                <w:b/>
                <w:bCs/>
                <w:color w:val="002D72"/>
                <w:sz w:val="17"/>
                <w:szCs w:val="17"/>
              </w:rPr>
              <w:t xml:space="preserve">Raised:</w:t>
            </w:r>
            <w:r>
              <w:rPr>
                <w:rFonts w:ascii="Helvetica Neue" w:cs="Helvetica Neue" w:eastAsia="Helvetica Neue" w:hAnsi="Helvetica Neue"/>
                <w:color w:val="31261D"/>
                <w:sz w:val="17"/>
                <w:szCs w:val="17"/>
              </w:rPr>
              <w:t xml:space="preserve"> $320K.</w:t>
            </w:r>
          </w:p>
          <w:p>
            <w:pPr>
              <w:pBdr>
                <w:bottom w:val="single" w:color="CBA052" w:sz="10" w:space="2"/>
              </w:pBdr>
              <w:spacing w:after="40" w:before="130"/>
            </w:pPr>
            <w:r>
              <w:rPr>
                <w:rFonts w:ascii="Georgia" w:cs="Georgia" w:eastAsia="Georgia" w:hAnsi="Georgia"/>
                <w:b/>
                <w:bCs/>
                <w:color w:val="002D72"/>
                <w:spacing w:val="14"/>
                <w:sz w:val="19"/>
                <w:szCs w:val="19"/>
              </w:rPr>
              <w:t xml:space="preserve">INTELLECTUAL PROPERTY</w:t>
            </w:r>
          </w:p>
          <w:p>
            <w:pPr>
              <w:spacing w:after="45" w:line="250"/>
            </w:pPr>
            <w:r>
              <w:rPr>
                <w:rFonts w:ascii="Helvetica Neue" w:cs="Helvetica Neue" w:eastAsia="Helvetica Neue" w:hAnsi="Helvetica Neue"/>
                <w:color w:val="31261D"/>
                <w:sz w:val="17"/>
                <w:szCs w:val="17"/>
              </w:rPr>
              <w:t xml:space="preserve"/>
            </w:r>
            <w:r>
              <w:rPr>
                <w:rFonts w:ascii="Helvetica Neue" w:cs="Helvetica Neue" w:eastAsia="Helvetica Neue" w:hAnsi="Helvetica Neue"/>
                <w:b/>
                <w:bCs/>
                <w:color w:val="002D72"/>
                <w:sz w:val="17"/>
                <w:szCs w:val="17"/>
              </w:rPr>
              <w:t xml:space="preserve">IP Status:</w:t>
            </w:r>
            <w:r>
              <w:rPr>
                <w:rFonts w:ascii="Helvetica Neue" w:cs="Helvetica Neue" w:eastAsia="Helvetica Neue" w:hAnsi="Helvetica Neue"/>
                <w:color w:val="31261D"/>
                <w:sz w:val="17"/>
                <w:szCs w:val="17"/>
              </w:rPr>
              <w:t xml:space="preserve"> Deck marks "Check Additional Notes"; per public sourcing, exclusively licensed from Johns Hopkins University.</w:t>
            </w:r>
          </w:p>
        </w:tc>
        <w:tc>
          <w:tcPr>
            <w:tcW w:type="dxa" w:w="4323"/>
            <w:tcBorders>
              <w:top w:val="none" w:color="FFFFFF" w:sz="0"/>
              <w:left w:val="single" w:color="CBA052" w:sz="14"/>
              <w:bottom w:val="none" w:color="FFFFFF" w:sz="0"/>
              <w:right w:val="none" w:color="FFFFFF" w:sz="0"/>
            </w:tcBorders>
            <w:shd w:fill="F4F1EA" w:color="auto" w:val="clear"/>
            <w:tcMar>
              <w:top w:type="dxa" w:w="160"/>
              <w:left w:type="dxa" w:w="240"/>
              <w:bottom w:type="dxa" w:w="0"/>
              <w:right w:type="dxa" w:w="200"/>
            </w:tcMar>
          </w:tcPr>
          <w:p>
            <w:pPr>
              <w:pBdr>
                <w:bottom w:val="single" w:color="CBA052" w:sz="10" w:space="2"/>
              </w:pBdr>
              <w:spacing w:after="50" w:before="0"/>
            </w:pPr>
            <w:r>
              <w:rPr>
                <w:rFonts w:ascii="Georgia" w:cs="Georgia" w:eastAsia="Georgia" w:hAnsi="Georgia"/>
                <w:b/>
                <w:bCs/>
                <w:color w:val="002D72"/>
                <w:spacing w:val="16"/>
                <w:sz w:val="17"/>
                <w:szCs w:val="17"/>
              </w:rPr>
              <w:t xml:space="preserve">PRINCIPAL INVESTIGATORS</w:t>
            </w:r>
          </w:p>
          <w:p>
            <w:pPr>
              <w:spacing w:after="40" w:before="20" w:line="240"/>
            </w:pPr>
            <w:r>
              <w:rPr>
                <w:rFonts w:ascii="Helvetica Neue" w:cs="Helvetica Neue" w:eastAsia="Helvetica Neue" w:hAnsi="Helvetica Neue"/>
                <w:i/>
                <w:iCs/>
                <w:color w:val="A6192E"/>
                <w:sz w:val="14"/>
                <w:szCs w:val="14"/>
              </w:rPr>
              <w:t xml:space="preserve">⚑ No current Johns Hopkins faculty PI is named in the source deck or confirmed via public sourcing — see Validation &amp; Traction flag.</w:t>
            </w:r>
          </w:p>
          <w:p>
            <w:pPr>
              <w:pBdr>
                <w:bottom w:val="single" w:color="CBA052" w:sz="10" w:space="2"/>
              </w:pBdr>
              <w:spacing w:after="50" w:before="180"/>
            </w:pPr>
            <w:r>
              <w:rPr>
                <w:rFonts w:ascii="Georgia" w:cs="Georgia" w:eastAsia="Georgia" w:hAnsi="Georgia"/>
                <w:b/>
                <w:bCs/>
                <w:color w:val="002D72"/>
                <w:spacing w:val="16"/>
                <w:sz w:val="17"/>
                <w:szCs w:val="17"/>
              </w:rPr>
              <w:t xml:space="preserve">KEY METRICS</w:t>
            </w:r>
          </w:p>
          <w:p>
            <w:pPr>
              <w:pBdr>
                <w:top w:val="single" w:color="DCD4C2" w:sz="5" w:space="4"/>
              </w:pBdr>
              <w:tabs>
                <w:tab w:val="right" w:pos="3563"/>
              </w:tabs>
              <w:spacing w:after="45" w:before="45"/>
            </w:pPr>
            <w:r>
              <w:rPr>
                <w:rFonts w:ascii="Helvetica Neue" w:cs="Helvetica Neue" w:eastAsia="Helvetica Neue" w:hAnsi="Helvetica Neue"/>
                <w:color w:val="5B5347"/>
                <w:spacing w:val="6"/>
                <w:sz w:val="13"/>
                <w:szCs w:val="13"/>
              </w:rPr>
              <w:t xml:space="preserve">STAGE</w:t>
            </w:r>
            <w:r>
              <w:rPr>
                <w:rFonts w:ascii="Georgia" w:cs="Georgia" w:eastAsia="Georgia" w:hAnsi="Georgia"/>
                <w:b/>
                <w:bCs/>
                <w:color w:val="002D72"/>
                <w:sz w:val="19"/>
                <w:szCs w:val="19"/>
              </w:rPr>
              <w:t xml:space="preserve">	Seed</w:t>
            </w:r>
          </w:p>
          <w:p>
            <w:pPr>
              <w:pBdr>
                <w:top w:val="single" w:color="DCD4C2" w:sz="5" w:space="4"/>
              </w:pBdr>
              <w:tabs>
                <w:tab w:val="right" w:pos="3563"/>
              </w:tabs>
              <w:spacing w:after="45" w:before="45"/>
            </w:pPr>
            <w:r>
              <w:rPr>
                <w:rFonts w:ascii="Helvetica Neue" w:cs="Helvetica Neue" w:eastAsia="Helvetica Neue" w:hAnsi="Helvetica Neue"/>
                <w:color w:val="5B5347"/>
                <w:spacing w:val="6"/>
                <w:sz w:val="13"/>
                <w:szCs w:val="13"/>
              </w:rPr>
              <w:t xml:space="preserve">RAISED</w:t>
            </w:r>
            <w:r>
              <w:rPr>
                <w:rFonts w:ascii="Georgia" w:cs="Georgia" w:eastAsia="Georgia" w:hAnsi="Georgia"/>
                <w:b/>
                <w:bCs/>
                <w:color w:val="002D72"/>
                <w:sz w:val="19"/>
                <w:szCs w:val="19"/>
              </w:rPr>
              <w:t xml:space="preserve">	$320K</w:t>
            </w:r>
          </w:p>
          <w:p>
            <w:pPr>
              <w:pBdr>
                <w:top w:val="single" w:color="DCD4C2" w:sz="5" w:space="4"/>
              </w:pBdr>
              <w:spacing w:after="0"/>
            </w:pPr>
          </w:p>
          <w:p>
            <w:pPr>
              <w:pBdr>
                <w:bottom w:val="single" w:color="CBA052" w:sz="10" w:space="2"/>
              </w:pBdr>
              <w:spacing w:after="50" w:before="180"/>
            </w:pPr>
            <w:r>
              <w:rPr>
                <w:rFonts w:ascii="Georgia" w:cs="Georgia" w:eastAsia="Georgia" w:hAnsi="Georgia"/>
                <w:b/>
                <w:bCs/>
                <w:color w:val="002D72"/>
                <w:spacing w:val="16"/>
                <w:sz w:val="17"/>
                <w:szCs w:val="17"/>
              </w:rPr>
              <w:t xml:space="preserve">APPLICATIONS</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color w:val="31261D"/>
                <w:sz w:val="16"/>
                <w:szCs w:val="16"/>
              </w:rPr>
              <w:t xml:space="preserve">Pre-symptomatic and asymptomatic malaria screening</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color w:val="31261D"/>
                <w:sz w:val="16"/>
                <w:szCs w:val="16"/>
              </w:rPr>
              <w:t xml:space="preserve">Malaria elimination program surveillance</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color w:val="31261D"/>
                <w:sz w:val="16"/>
                <w:szCs w:val="16"/>
              </w:rPr>
              <w:t xml:space="preserve">Field-deployable alternative to PCR in low-resource settings</w:t>
            </w:r>
          </w:p>
          <w:p>
            <w:pPr>
              <w:pBdr>
                <w:bottom w:val="single" w:color="CBA052" w:sz="10" w:space="2"/>
              </w:pBdr>
              <w:spacing w:after="50" w:before="180"/>
            </w:pPr>
            <w:r>
              <w:rPr>
                <w:rFonts w:ascii="Georgia" w:cs="Georgia" w:eastAsia="Georgia" w:hAnsi="Georgia"/>
                <w:b/>
                <w:bCs/>
                <w:color w:val="002D72"/>
                <w:spacing w:val="16"/>
                <w:sz w:val="17"/>
                <w:szCs w:val="17"/>
              </w:rPr>
              <w:t xml:space="preserve">WHY IT WINS</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b/>
                <w:bCs/>
                <w:color w:val="002D72"/>
                <w:sz w:val="16"/>
                <w:szCs w:val="16"/>
              </w:rPr>
              <w:t xml:space="preserve">World-first detection method </w:t>
            </w:r>
            <w:r>
              <w:rPr>
                <w:rFonts w:ascii="Helvetica Neue" w:cs="Helvetica Neue" w:eastAsia="Helvetica Neue" w:hAnsi="Helvetica Neue"/>
                <w:color w:val="31261D"/>
                <w:sz w:val="16"/>
                <w:szCs w:val="16"/>
              </w:rPr>
              <w:t xml:space="preserve">— targets precursor parasitemia before symptoms</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b/>
                <w:bCs/>
                <w:color w:val="002D72"/>
                <w:sz w:val="16"/>
                <w:szCs w:val="16"/>
              </w:rPr>
              <w:t xml:space="preserve">No blood draw required </w:t>
            </w:r>
            <w:r>
              <w:rPr>
                <w:rFonts w:ascii="Helvetica Neue" w:cs="Helvetica Neue" w:eastAsia="Helvetica Neue" w:hAnsi="Helvetica Neue"/>
                <w:color w:val="31261D"/>
                <w:sz w:val="16"/>
                <w:szCs w:val="16"/>
              </w:rPr>
              <w:t xml:space="preserve">— saliva sample lowers field-testing barriers</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b/>
                <w:bCs/>
                <w:color w:val="002D72"/>
                <w:sz w:val="16"/>
                <w:szCs w:val="16"/>
              </w:rPr>
              <w:t xml:space="preserve">Global health funder backing </w:t>
            </w:r>
            <w:r>
              <w:rPr>
                <w:rFonts w:ascii="Helvetica Neue" w:cs="Helvetica Neue" w:eastAsia="Helvetica Neue" w:hAnsi="Helvetica Neue"/>
                <w:color w:val="31261D"/>
                <w:sz w:val="16"/>
                <w:szCs w:val="16"/>
              </w:rPr>
              <w:t xml:space="preserve">— Gates Foundation and De Beers Group support</w:t>
            </w:r>
          </w:p>
          <w:p>
            <w:pPr>
              <w:pBdr>
                <w:bottom w:val="single" w:color="CBA052" w:sz="10" w:space="2"/>
              </w:pBdr>
              <w:spacing w:after="50" w:before="180"/>
            </w:pPr>
            <w:r>
              <w:rPr>
                <w:rFonts w:ascii="Georgia" w:cs="Georgia" w:eastAsia="Georgia" w:hAnsi="Georgia"/>
                <w:b/>
                <w:bCs/>
                <w:color w:val="002D72"/>
                <w:spacing w:val="16"/>
                <w:sz w:val="17"/>
                <w:szCs w:val="17"/>
              </w:rPr>
              <w:t xml:space="preserve">FOR MORE INFORMATION, CONTACT</w:t>
            </w:r>
          </w:p>
          <w:p>
            <w:pPr>
              <w:spacing w:after="10"/>
            </w:pPr>
            <w:r>
              <w:rPr>
                <w:rFonts w:ascii="Helvetica Neue" w:cs="Helvetica Neue" w:eastAsia="Helvetica Neue" w:hAnsi="Helvetica Neue"/>
                <w:b/>
                <w:bCs/>
                <w:color w:val="31261D"/>
                <w:sz w:val="16"/>
                <w:szCs w:val="16"/>
              </w:rPr>
              <w:t xml:space="preserve">Johns Hopkins Technology Ventures</w:t>
            </w:r>
          </w:p>
          <w:p>
            <w:pPr>
              <w:spacing w:after="50"/>
            </w:pPr>
            <w:r>
              <w:rPr>
                <w:rFonts w:ascii="Helvetica Neue" w:cs="Helvetica Neue" w:eastAsia="Helvetica Neue" w:hAnsi="Helvetica Neue"/>
                <w:color w:val="002D72"/>
                <w:sz w:val="16"/>
                <w:szCs w:val="16"/>
              </w:rPr>
              <w:t xml:space="preserve">ventures.jhu.edu</w:t>
            </w:r>
          </w:p>
          <w:p>
            <w:pPr>
              <w:spacing w:after="40" w:before="20" w:line="240"/>
            </w:pPr>
            <w:r>
              <w:rPr>
                <w:rFonts w:ascii="Helvetica Neue" w:cs="Helvetica Neue" w:eastAsia="Helvetica Neue" w:hAnsi="Helvetica Neue"/>
                <w:i/>
                <w:iCs/>
                <w:color w:val="A6192E"/>
                <w:sz w:val="14"/>
                <w:szCs w:val="14"/>
              </w:rPr>
              <w:t xml:space="preserve">⚑ No named JHTV licensing/BD contact for this technology was provided in the source deck.</w:t>
            </w:r>
          </w:p>
        </w:tc>
      </w:tr>
    </w:tbl>
    <w:p>
      <w:pPr>
        <w:spacing w:after="0" w:before="0" w:line="20" w:lineRule="exact"/>
      </w:pPr>
      <w:r>
        <w:rPr>
          <w:sz w:val="2"/>
          <w:szCs w:val="2"/>
        </w:rPr>
        <w:t xml:space="preserve"/>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20" w:hRule="exact"/>
        </w:trPr>
        <w:tc>
          <w:tcPr>
            <w:tcW w:type="dxa" w:w="3792"/>
            <w:tcBorders>
              <w:top w:val="none" w:color="FFFFFF" w:sz="0"/>
              <w:left w:val="none" w:color="FFFFFF" w:sz="0"/>
              <w:bottom w:val="none" w:color="FFFFFF" w:sz="0"/>
              <w:right w:val="none" w:color="FFFFFF" w:sz="0"/>
            </w:tcBorders>
            <w:shd w:fill="002D72" w:color="auto" w:val="clear"/>
            <w:tcMar>
              <w:top w:type="dxa" w:w="60"/>
              <w:left w:type="dxa" w:w="260"/>
              <w:bottom w:type="dxa" w:w="60"/>
              <w:right w:type="dxa" w:w="0"/>
            </w:tcMar>
            <w:vAlign w:val="center"/>
          </w:tcPr>
          <w:p>
            <w:r>
              <w:rPr>
                <w:rFonts w:ascii="Helvetica Neue" w:cs="Helvetica Neue" w:eastAsia="Helvetica Neue" w:hAnsi="Helvetica Neue"/>
                <w:color w:val="68ACE5"/>
                <w:sz w:val="13"/>
                <w:szCs w:val="13"/>
              </w:rPr>
              <w:t xml:space="preserve">JHTV Ref: </w:t>
            </w:r>
            <w:r>
              <w:rPr>
                <w:rFonts w:ascii="Helvetica Neue" w:cs="Helvetica Neue" w:eastAsia="Helvetica Neue" w:hAnsi="Helvetica Neue"/>
                <w:color w:val="FFFFFF"/>
                <w:sz w:val="13"/>
                <w:szCs w:val="13"/>
              </w:rPr>
              <w:t xml:space="preserve">C12806</w:t>
            </w:r>
          </w:p>
        </w:tc>
        <w:tc>
          <w:tcPr>
            <w:tcW w:type="dxa" w:w="3792"/>
            <w:tcBorders>
              <w:top w:val="none" w:color="FFFFFF" w:sz="0"/>
              <w:left w:val="none" w:color="FFFFFF" w:sz="0"/>
              <w:bottom w:val="none" w:color="FFFFFF" w:sz="0"/>
              <w:right w:val="none" w:color="FFFFFF" w:sz="0"/>
            </w:tcBorders>
            <w:shd w:fill="002D72" w:color="auto" w:val="clear"/>
            <w:tcMar>
              <w:top w:type="dxa" w:w="60"/>
              <w:left w:type="dxa" w:w="0"/>
              <w:bottom w:type="dxa" w:w="60"/>
              <w:right w:type="dxa" w:w="0"/>
            </w:tcMar>
            <w:vAlign w:val="center"/>
          </w:tcPr>
          <w:p>
            <w:pPr>
              <w:jc w:val="center"/>
            </w:pPr>
            <w:r>
              <w:rPr>
                <w:rFonts w:ascii="Helvetica Neue" w:cs="Helvetica Neue" w:eastAsia="Helvetica Neue" w:hAnsi="Helvetica Neue"/>
                <w:color w:val="FFFFFF"/>
                <w:sz w:val="13"/>
                <w:szCs w:val="13"/>
              </w:rPr>
              <w:t xml:space="preserve">1</w:t>
            </w:r>
          </w:p>
        </w:tc>
        <w:tc>
          <w:tcPr>
            <w:tcW w:type="dxa" w:w="3792"/>
            <w:tcBorders>
              <w:top w:val="none" w:color="FFFFFF" w:sz="0"/>
              <w:left w:val="none" w:color="FFFFFF" w:sz="0"/>
              <w:bottom w:val="none" w:color="FFFFFF" w:sz="0"/>
              <w:right w:val="none" w:color="FFFFFF" w:sz="0"/>
            </w:tcBorders>
            <w:shd w:fill="002D72" w:color="auto" w:val="clear"/>
            <w:tcMar>
              <w:top w:type="dxa" w:w="60"/>
              <w:left w:type="dxa" w:w="0"/>
              <w:bottom w:type="dxa" w:w="60"/>
              <w:right w:type="dxa" w:w="260"/>
            </w:tcMar>
            <w:vAlign w:val="center"/>
          </w:tcPr>
          <w:p>
            <w:pPr>
              <w:jc w:val="right"/>
            </w:pPr>
            <w:r>
              <w:rPr>
                <w:rFonts w:ascii="Helvetica Neue" w:cs="Helvetica Neue" w:eastAsia="Helvetica Neue" w:hAnsi="Helvetica Neue"/>
                <w:color w:val="FFFFFF"/>
                <w:sz w:val="13"/>
                <w:szCs w:val="13"/>
              </w:rPr>
              <w:t xml:space="preserve">ventures.jhu.edu</w:t>
            </w:r>
          </w:p>
        </w:tc>
      </w:tr>
    </w:tbl>
    <w:sectPr>
      <w:pgSz w:w="12240" w:h="15840" w:orient="portrait"/>
      <w:pgMar w:top="432" w:right="432" w:bottom="432" w:left="43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2026-06-24T14:43:41.512Z</dcterms:created>
  <dcterms:modified xsi:type="dcterms:W3CDTF">2026-06-24T14:43:41.512Z</dcterms:modified>
</cp:coreProperties>
</file>

<file path=docProps/custom.xml><?xml version="1.0" encoding="utf-8"?>
<Properties xmlns="http://schemas.openxmlformats.org/officeDocument/2006/custom-properties" xmlns:vt="http://schemas.openxmlformats.org/officeDocument/2006/docPropsVTypes"/>
</file>