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1120" w:hRule="exact"/>
        </w:trPr>
        <w:tc>
          <w:tcPr>
            <w:tcW w:type="dxa" w:w="62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260"/>
              <w:bottom w:type="dxa" w:w="80"/>
              <w:right w:type="dxa" w:w="0"/>
            </w:tcMar>
            <w:vAlign w:val="center"/>
          </w:tcPr>
          <w:p>
            <w:pPr>
              <w:spacing w:after="3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50"/>
                <w:szCs w:val="50"/>
              </w:rPr>
              <w:t xml:space="preserve">JHTV</w:t>
            </w:r>
          </w:p>
          <w:p>
            <w:r>
              <w:rPr>
                <w:rFonts w:ascii="Helvetica Neue" w:cs="Helvetica Neue" w:eastAsia="Helvetica Neue" w:hAnsi="Helvetica Neue"/>
                <w:b/>
                <w:bCs/>
                <w:color w:val="68ACE5"/>
                <w:spacing w:val="16"/>
                <w:sz w:val="15"/>
                <w:szCs w:val="15"/>
              </w:rPr>
              <w:t xml:space="preserve">JOHNS HOPKINS TECHNOLOGY VENTURES</w:t>
            </w:r>
          </w:p>
        </w:tc>
        <w:tc>
          <w:tcPr>
            <w:tcW w:type="dxa" w:w="51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0"/>
              <w:bottom w:type="dxa" w:w="80"/>
              <w:right w:type="dxa" w:w="260"/>
            </w:tcMar>
            <w:vAlign w:val="center"/>
          </w:tcPr>
          <w:p>
            <w:pPr>
              <w:pBdr>
                <w:bottom w:val="single" w:color="CBA052" w:sz="6" w:space="2"/>
              </w:pBdr>
              <w:spacing w:after="50"/>
              <w:jc w:val="right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pacing w:val="20"/>
                <w:sz w:val="16"/>
                <w:szCs w:val="16"/>
              </w:rPr>
              <w:t xml:space="preserve">TECHNOLOGY OPPORTUNITY BRIEF</w:t>
            </w:r>
          </w:p>
          <w:p>
            <w:pPr>
              <w:jc w:val="right"/>
            </w:pPr>
            <w:r>
              <w:rPr>
                <w:rFonts w:ascii="Helvetica Neue" w:cs="Helvetica Neue" w:eastAsia="Helvetica Neue" w:hAnsi="Helvetica Neue"/>
                <w:color w:val="FFFFFF"/>
                <w:sz w:val="16"/>
                <w:szCs w:val="16"/>
              </w:rPr>
              <w:t xml:space="preserve">ventures.jhu.edu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1080" w:hRule="exact"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160"/>
              <w:bottom w:type="dxa" w:w="80"/>
              <w:right w:type="dxa" w:w="60"/>
            </w:tcMar>
            <w:vAlign w:val="center"/>
          </w:tcPr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6"/>
                <w:sz w:val="13"/>
                <w:szCs w:val="13"/>
              </w:rPr>
              <w:t xml:space="preserve">EDTECH</w:t>
            </w:r>
          </w:p>
          <w:p>
            <w:pPr>
              <w:spacing w:after="0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6"/>
                <w:sz w:val="13"/>
                <w:szCs w:val="13"/>
              </w:rPr>
              <w:t xml:space="preserve">SOFTWARE</w:t>
            </w:r>
          </w:p>
        </w:tc>
        <w:tc>
          <w:tcPr>
            <w:tcW w:type="dxa" w:w="98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BA052" w:color="auto" w:val="clear"/>
            <w:tcMar>
              <w:top w:type="dxa" w:w="80"/>
              <w:left w:type="dxa" w:w="220"/>
              <w:bottom w:type="dxa" w:w="80"/>
              <w:right w:type="dxa" w:w="260"/>
            </w:tcMar>
            <w:vAlign w:val="center"/>
          </w:tcPr>
          <w:p>
            <w:pPr>
              <w:spacing w:after="20"/>
            </w:pPr>
            <w:r>
              <w:rPr>
                <w:rFonts w:ascii="Georgia" w:cs="Georgia" w:eastAsia="Georgia" w:hAnsi="Georgia"/>
                <w:b/>
                <w:bCs/>
                <w:color w:val="31261D"/>
                <w:sz w:val="44"/>
                <w:szCs w:val="44"/>
              </w:rPr>
              <w:t xml:space="preserve">ForagerOne</w:t>
            </w:r>
          </w:p>
          <w:p>
            <w:pPr>
              <w:spacing w:after="50"/>
            </w:pPr>
            <w:r>
              <w:rPr>
                <w:rFonts w:ascii="Georgia" w:cs="Georgia" w:eastAsia="Georgia" w:hAnsi="Georgia"/>
                <w:i/>
                <w:iCs/>
                <w:color w:val="002D72"/>
                <w:sz w:val="17"/>
                <w:szCs w:val="17"/>
              </w:rPr>
              <w:t xml:space="preserve">Platform Connecting Students to Research, Mentorship, and Opportunity</w:t>
            </w:r>
          </w:p>
          <w:p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8"/>
                <w:sz w:val="13"/>
                <w:szCs w:val="13"/>
                <w:shd w:fill="002D72" w:color="auto" w:val="clear"/>
              </w:rPr>
              <w:t xml:space="preserve">  NEWCO — $45K RAISED (SOFTWARE)  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0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0"/>
              <w:bottom w:type="dxa" w:w="0"/>
              <w:right w:type="dxa" w:w="220"/>
            </w:tcMar>
          </w:tcPr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UNMET CLINICAL NEED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Undergraduate research, mentorship, and scholar opportunities are scattered across departments and informal networks, making it hard for students — especially those without existing connections — to discover them, and hard for institutions to track participation and outcomes.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THE TECHNOLOGY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The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ForagerOne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platform centralizes research and mentorship opportunities for an institution, helping students discover programs and helping administrators manage and report on engagement.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Companion products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Symposium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(research-event and showcase management) and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Scoutt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(opportunity-matching) extend the core platform.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MARKET BACKGROUND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Adopted as enterprise software across higher education, with growing footprint among research universities and health-sciences institutions seeking better visibility into student research participation.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VALIDATION &amp; TRACTION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Deployed at 200+ academic institutions, with expanding (upselling) adoption within existing accounts such as Cornell.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New institutional launches include Thomas Jefferson University (Sidney Kimmel Medical College), Northern Illinois University, Grand Valley State University, and the Atlanta University Center consortium.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Scoutt MVP completed and winner of the JHTV Bisciotti Student Prize.</w:t>
            </w:r>
          </w:p>
          <w:p>
            <w:pPr>
              <w:spacing w:after="40" w:before="20" w:line="240"/>
            </w:pPr>
            <w:r>
              <w:rPr>
                <w:rFonts w:ascii="Helvetica Neue" w:cs="Helvetica Neue" w:eastAsia="Helvetica Neue" w:hAnsi="Helvetica Neue"/>
                <w:i/>
                <w:iCs/>
                <w:color w:val="A6192E"/>
                <w:sz w:val="14"/>
                <w:szCs w:val="14"/>
              </w:rPr>
              <w:t xml:space="preserve">⚑ Deck names three co-founders; public sourcing identifies a fourth co-founder, Nitin Kumar, not listed in the deck's byline — confirm the complete founding team.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DEVELOPMENT STATUS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/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Stage: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NewCo ·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Raised: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$45K (software, no patents sought).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INTELLECTUAL PROPERTY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/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IP Status: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No patents sought (software product).</w:t>
            </w:r>
          </w:p>
        </w:tc>
        <w:tc>
          <w:tcPr>
            <w:tcW w:type="dxa" w:w="4323"/>
            <w:tcBorders>
              <w:top w:val="none" w:color="FFFFFF" w:sz="0"/>
              <w:left w:val="single" w:color="CBA052" w:sz="14"/>
              <w:bottom w:val="none" w:color="FFFFFF" w:sz="0"/>
              <w:right w:val="none" w:color="FFFFFF" w:sz="0"/>
            </w:tcBorders>
            <w:shd w:fill="F4F1EA" w:color="auto" w:val="clear"/>
            <w:tcMar>
              <w:top w:type="dxa" w:w="160"/>
              <w:left w:type="dxa" w:w="240"/>
              <w:bottom w:type="dxa" w:w="0"/>
              <w:right w:type="dxa" w:w="200"/>
            </w:tcMar>
          </w:tcPr>
          <w:p>
            <w:pPr>
              <w:pBdr>
                <w:bottom w:val="single" w:color="CBA052" w:sz="10" w:space="2"/>
              </w:pBdr>
              <w:spacing w:after="50" w:before="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PRINCIPAL INVESTIGATORS</w:t>
            </w:r>
          </w:p>
          <w:p>
            <w:pPr>
              <w:spacing w:after="4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7"/>
                <w:szCs w:val="17"/>
              </w:rPr>
              <w:t xml:space="preserve">Yash Jain</w:t>
            </w:r>
          </w:p>
          <w:p>
            <w:pPr>
              <w:spacing w:after="36"/>
            </w:pPr>
            <w:r>
              <w:rPr>
                <w:rFonts w:ascii="Helvetica Neue" w:cs="Helvetica Neue" w:eastAsia="Helvetica Neue" w:hAnsi="Helvetica Neue"/>
                <w:i/>
                <w:iCs/>
                <w:color w:val="5B5347"/>
                <w:sz w:val="14"/>
                <w:szCs w:val="14"/>
              </w:rPr>
              <w:t xml:space="preserve">Co-Founder &amp; Co-CEO</w:t>
            </w:r>
          </w:p>
          <w:p>
            <w:pPr>
              <w:spacing w:after="4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7"/>
                <w:szCs w:val="17"/>
              </w:rPr>
              <w:t xml:space="preserve">Michael Ashmead</w:t>
            </w:r>
          </w:p>
          <w:p>
            <w:pPr>
              <w:spacing w:after="36"/>
            </w:pPr>
            <w:r>
              <w:rPr>
                <w:rFonts w:ascii="Helvetica Neue" w:cs="Helvetica Neue" w:eastAsia="Helvetica Neue" w:hAnsi="Helvetica Neue"/>
                <w:i/>
                <w:iCs/>
                <w:color w:val="5B5347"/>
                <w:sz w:val="14"/>
                <w:szCs w:val="14"/>
              </w:rPr>
              <w:t xml:space="preserve">Co-Founder &amp; Chief Product Officer</w:t>
            </w:r>
          </w:p>
          <w:p>
            <w:pPr>
              <w:spacing w:after="4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7"/>
                <w:szCs w:val="17"/>
              </w:rPr>
              <w:t xml:space="preserve">Ansh Bhammar</w:t>
            </w:r>
          </w:p>
          <w:p>
            <w:pPr>
              <w:spacing w:after="36"/>
            </w:pPr>
            <w:r>
              <w:rPr>
                <w:rFonts w:ascii="Helvetica Neue" w:cs="Helvetica Neue" w:eastAsia="Helvetica Neue" w:hAnsi="Helvetica Neue"/>
                <w:i/>
                <w:iCs/>
                <w:color w:val="5B5347"/>
                <w:sz w:val="14"/>
                <w:szCs w:val="14"/>
              </w:rPr>
              <w:t xml:space="preserve">Co-Founder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KEY METRICS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STAGE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NewCo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RAISED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$45K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INSTITUTIONS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200+</w:t>
            </w:r>
          </w:p>
          <w:p>
            <w:pPr>
              <w:pBdr>
                <w:top w:val="single" w:color="DCD4C2" w:sz="5" w:space="4"/>
              </w:pBdr>
              <w:spacing w:after="0"/>
            </w:pP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APPLICATIONS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Undergraduate and graduate research-opportunity discovery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Institutional research-engagement reporting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Research symposium and showcase management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WHY IT WINS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Proven enterprise adoption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200+ institutions, expanding within accounts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Multi-product suite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Symposium and Scoutt extend the core platform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Capital-efficient growth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scaled broadly on minimal raised capital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FOR MORE INFORMATION, CONTACT</w:t>
            </w:r>
          </w:p>
          <w:p>
            <w:pPr>
              <w:spacing w:after="10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6"/>
                <w:szCs w:val="16"/>
              </w:rPr>
              <w:t xml:space="preserve">Johns Hopkins Technology Ventures</w:t>
            </w:r>
          </w:p>
          <w:p>
            <w:pPr>
              <w:spacing w:after="50"/>
            </w:pPr>
            <w:r>
              <w:rPr>
                <w:rFonts w:ascii="Helvetica Neue" w:cs="Helvetica Neue" w:eastAsia="Helvetica Neue" w:hAnsi="Helvetica Neue"/>
                <w:color w:val="002D72"/>
                <w:sz w:val="16"/>
                <w:szCs w:val="16"/>
              </w:rPr>
              <w:t xml:space="preserve">ventures.jhu.edu</w:t>
            </w:r>
          </w:p>
          <w:p>
            <w:pPr>
              <w:spacing w:after="40" w:before="20" w:line="240"/>
            </w:pPr>
            <w:r>
              <w:rPr>
                <w:rFonts w:ascii="Helvetica Neue" w:cs="Helvetica Neue" w:eastAsia="Helvetica Neue" w:hAnsi="Helvetica Neue"/>
                <w:i/>
                <w:iCs/>
                <w:color w:val="A6192E"/>
                <w:sz w:val="14"/>
                <w:szCs w:val="14"/>
              </w:rPr>
              <w:t xml:space="preserve">⚑ Source deck lists no JHTV case/reference code for this technology (marked N/A) and no named licensing/BD contact.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rHeight w:val="420" w:hRule="exact"/>
        </w:trPr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260"/>
              <w:bottom w:type="dxa" w:w="60"/>
              <w:right w:type="dxa" w:w="0"/>
            </w:tcMar>
            <w:vAlign w:val="center"/>
          </w:tcPr>
          <w:p>
            <w:r>
              <w:rPr>
                <w:rFonts w:ascii="Helvetica Neue" w:cs="Helvetica Neue" w:eastAsia="Helvetica Neue" w:hAnsi="Helvetica Neue"/>
                <w:color w:val="68ACE5"/>
                <w:sz w:val="13"/>
                <w:szCs w:val="13"/>
              </w:rPr>
              <w:t xml:space="preserve">JHTV Ref: </w:t>
            </w: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[not in source]</w:t>
            </w:r>
          </w:p>
        </w:tc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1</w:t>
            </w:r>
          </w:p>
        </w:tc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0"/>
              <w:bottom w:type="dxa" w:w="60"/>
              <w:right w:type="dxa" w:w="260"/>
            </w:tcMar>
            <w:vAlign w:val="center"/>
          </w:tcPr>
          <w:p>
            <w:pPr>
              <w:jc w:val="right"/>
            </w:pP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ventures.jhu.edu</w:t>
            </w:r>
          </w:p>
        </w:tc>
      </w:tr>
    </w:tbl>
    <w:sectPr>
      <w:pgSz w:w="12240" w:h="15840" w:orient="portrait"/>
      <w:pgMar w:top="432" w:right="432" w:bottom="432" w:left="43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2026-06-24T00:17:59.371Z</dcterms:created>
  <dcterms:modified xsi:type="dcterms:W3CDTF">2026-06-24T00:17:59.371Z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