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THERAPEUTICS</w:t>
            </w:r>
          </w:p>
          <w:p>
            <w:pPr>
              <w:spacing w:after="0"/>
            </w:pPr>
            <w:r>
              <w:rPr>
                <w:rFonts w:ascii="Helvetica Neue" w:cs="Helvetica Neue" w:eastAsia="Helvetica Neue" w:hAnsi="Helvetica Neue"/>
                <w:b/>
                <w:bCs/>
                <w:color w:val="FFFFFF"/>
                <w:spacing w:val="6"/>
                <w:sz w:val="13"/>
                <w:szCs w:val="13"/>
              </w:rPr>
              <w:t xml:space="preserve">ONCOLOGY</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OncoSTING</w:t>
            </w:r>
          </w:p>
          <w:p>
            <w:pPr>
              <w:spacing w:after="50"/>
            </w:pPr>
            <w:r>
              <w:rPr>
                <w:rFonts w:ascii="Georgia" w:cs="Georgia" w:eastAsia="Georgia" w:hAnsi="Georgia"/>
                <w:i/>
                <w:iCs/>
                <w:color w:val="002D72"/>
                <w:sz w:val="17"/>
                <w:szCs w:val="17"/>
              </w:rPr>
              <w:t xml:space="preserve">STING-Activating BCG Immunotherapy for Bladder Cancer</w:t>
            </w:r>
          </w:p>
          <w:p>
            <w:r>
              <w:rPr>
                <w:rFonts w:ascii="Helvetica Neue" w:cs="Helvetica Neue" w:eastAsia="Helvetica Neue" w:hAnsi="Helvetica Neue"/>
                <w:b/>
                <w:bCs/>
                <w:color w:val="FFFFFF"/>
                <w:spacing w:val="8"/>
                <w:sz w:val="13"/>
                <w:szCs w:val="13"/>
                <w:shd w:fill="002D72" w:color="auto" w:val="clear"/>
              </w:rPr>
              <w:t xml:space="preserve">  SEED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Standard BCG immunotherapy for non-muscle-invasive bladder cancer fails in a substantial share of patients, and BCG shortages have left many without access to first-line treatment at all.</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BCG-disA-OE</w:t>
            </w:r>
            <w:r>
              <w:rPr>
                <w:rFonts w:ascii="Helvetica Neue" w:cs="Helvetica Neue" w:eastAsia="Helvetica Neue" w:hAnsi="Helvetica Neue"/>
                <w:color w:val="31261D"/>
                <w:sz w:val="17"/>
                <w:szCs w:val="17"/>
              </w:rPr>
              <w:t xml:space="preserve">, a genetically engineered strain of BCG overexpressing the disA gene, increases cyclic-di-AMP production to more potently activate the STING innate-immune pathway, aiming to improve on standard BCG's anti-tumor immune response.</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Positioned as a next-generation BCG immunotherapy for non-muscle-invasive bladder cancer, addressing both efficacy gaps and the ongoing global BCG supply shortage.</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Preclinical studies demonstrated that BCG-disA-OE enhances STING pathway activation and anti-tumor immune response compared to standard BCG in bladder cancer models.</w:t>
            </w:r>
          </w:p>
          <w:p>
            <w:pPr>
              <w:spacing w:after="40" w:before="20" w:line="240"/>
            </w:pPr>
            <w:r>
              <w:rPr>
                <w:rFonts w:ascii="Helvetica Neue" w:cs="Helvetica Neue" w:eastAsia="Helvetica Neue" w:hAnsi="Helvetica Neue"/>
                <w:i/>
                <w:iCs/>
                <w:color w:val="A6192E"/>
                <w:sz w:val="14"/>
                <w:szCs w:val="14"/>
              </w:rPr>
              <w:t xml:space="preserve">⚑ A related peer-reviewed paper on BCG-disA-OE was reportedly retracted after publication due to data irregularities; subsequent follow-up research has since reported improved, independently reproduced results for the platform. JHTV and prospective licensees should review the retraction and follow-up literature directly before relying on any specific efficacy claims.</w:t>
            </w:r>
          </w:p>
          <w:p>
            <w:pPr>
              <w:spacing w:after="40" w:before="20" w:line="240"/>
            </w:pPr>
            <w:r>
              <w:rPr>
                <w:rFonts w:ascii="Helvetica Neue" w:cs="Helvetica Neue" w:eastAsia="Helvetica Neue" w:hAnsi="Helvetica Neue"/>
                <w:i/>
                <w:iCs/>
                <w:color w:val="A6192E"/>
                <w:sz w:val="14"/>
                <w:szCs w:val="14"/>
              </w:rPr>
              <w:t xml:space="preserve">⚑ Source deck page carries both "TO BE VETTED BY FF" and "Ready For Faculty Review" annotations, indicating this page had not completed internal review at the time the deck was compiled.</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Seed.</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Licensed (Case Nos. C13414, C14295).</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
            </w:pPr>
            <w:r>
              <w:rPr>
                <w:rFonts w:ascii="Helvetica Neue" w:cs="Helvetica Neue" w:eastAsia="Helvetica Neue" w:hAnsi="Helvetica Neue"/>
                <w:b/>
                <w:bCs/>
                <w:color w:val="31261D"/>
                <w:sz w:val="17"/>
                <w:szCs w:val="17"/>
              </w:rPr>
              <w:t xml:space="preserve">Tod Wallach</w:t>
            </w:r>
          </w:p>
          <w:p>
            <w:pPr>
              <w:spacing w:after="36"/>
            </w:pPr>
            <w:r>
              <w:rPr>
                <w:rFonts w:ascii="Helvetica Neue" w:cs="Helvetica Neue" w:eastAsia="Helvetica Neue" w:hAnsi="Helvetica Neue"/>
                <w:i/>
                <w:iCs/>
                <w:color w:val="5B5347"/>
                <w:sz w:val="14"/>
                <w:szCs w:val="14"/>
              </w:rPr>
              <w:t xml:space="preserve">Co-Founder &amp; CEO</w:t>
            </w:r>
          </w:p>
          <w:p>
            <w:pPr>
              <w:spacing w:after="4"/>
            </w:pPr>
            <w:r>
              <w:rPr>
                <w:rFonts w:ascii="Helvetica Neue" w:cs="Helvetica Neue" w:eastAsia="Helvetica Neue" w:hAnsi="Helvetica Neue"/>
                <w:b/>
                <w:bCs/>
                <w:color w:val="31261D"/>
                <w:sz w:val="17"/>
                <w:szCs w:val="17"/>
              </w:rPr>
              <w:t xml:space="preserve">William Bishai, M.D., Ph.D.</w:t>
            </w:r>
          </w:p>
          <w:p>
            <w:pPr>
              <w:spacing w:after="36"/>
            </w:pPr>
            <w:r>
              <w:rPr>
                <w:rFonts w:ascii="Helvetica Neue" w:cs="Helvetica Neue" w:eastAsia="Helvetica Neue" w:hAnsi="Helvetica Neue"/>
                <w:i/>
                <w:iCs/>
                <w:color w:val="5B5347"/>
                <w:sz w:val="14"/>
                <w:szCs w:val="14"/>
              </w:rPr>
              <w:t xml:space="preserve">Co-Founder; Professor of Medicine, Johns Hopkins University</w:t>
            </w:r>
          </w:p>
          <w:p>
            <w:pPr>
              <w:spacing w:after="4"/>
            </w:pPr>
            <w:r>
              <w:rPr>
                <w:rFonts w:ascii="Helvetica Neue" w:cs="Helvetica Neue" w:eastAsia="Helvetica Neue" w:hAnsi="Helvetica Neue"/>
                <w:b/>
                <w:bCs/>
                <w:color w:val="31261D"/>
                <w:sz w:val="17"/>
                <w:szCs w:val="17"/>
              </w:rPr>
              <w:t xml:space="preserve">Trinity Bivalacqua, M.D., Ph.D.</w:t>
            </w:r>
          </w:p>
          <w:p>
            <w:pPr>
              <w:spacing w:after="36"/>
            </w:pPr>
            <w:r>
              <w:rPr>
                <w:rFonts w:ascii="Helvetica Neue" w:cs="Helvetica Neue" w:eastAsia="Helvetica Neue" w:hAnsi="Helvetica Neue"/>
                <w:i/>
                <w:iCs/>
                <w:color w:val="5B5347"/>
                <w:sz w:val="14"/>
                <w:szCs w:val="14"/>
              </w:rPr>
              <w:t xml:space="preserve">Co-Founder; now at University of Pennsylvania (per public sourcing)</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Seed</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LEAD ASSET</w:t>
            </w:r>
            <w:r>
              <w:rPr>
                <w:rFonts w:ascii="Georgia" w:cs="Georgia" w:eastAsia="Georgia" w:hAnsi="Georgia"/>
                <w:b/>
                <w:bCs/>
                <w:color w:val="002D72"/>
                <w:sz w:val="19"/>
                <w:szCs w:val="19"/>
              </w:rPr>
              <w:t xml:space="preserve">	BCG-disA-OE</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Non-muscle-invasive bladder cancer immunotherapy</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Alternative supply source amid global BCG shortages</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Builds on a proven backbone </w:t>
            </w:r>
            <w:r>
              <w:rPr>
                <w:rFonts w:ascii="Helvetica Neue" w:cs="Helvetica Neue" w:eastAsia="Helvetica Neue" w:hAnsi="Helvetica Neue"/>
                <w:color w:val="31261D"/>
                <w:sz w:val="16"/>
                <w:szCs w:val="16"/>
              </w:rPr>
              <w:t xml:space="preserve">— engineered improvement to the decades-validated BCG platform</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Addresses a live supply crisis </w:t>
            </w:r>
            <w:r>
              <w:rPr>
                <w:rFonts w:ascii="Helvetica Neue" w:cs="Helvetica Neue" w:eastAsia="Helvetica Neue" w:hAnsi="Helvetica Neue"/>
                <w:color w:val="31261D"/>
                <w:sz w:val="16"/>
                <w:szCs w:val="16"/>
              </w:rPr>
              <w:t xml:space="preserve">— positioned against the ongoing global BCG shortage</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named JHTV licensing/business development contact for this technology was provided in the source deck. The retraction/follow-up literature on BCG-disA-OE warrants direct review before external use of this document.</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C13414, C14295</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2026-06-24T00:30:36.270Z</dcterms:created>
  <dcterms:modified xsi:type="dcterms:W3CDTF">2026-06-24T00:30:36.270Z</dcterms:modified>
</cp:coreProperties>
</file>

<file path=docProps/custom.xml><?xml version="1.0" encoding="utf-8"?>
<Properties xmlns="http://schemas.openxmlformats.org/officeDocument/2006/custom-properties" xmlns:vt="http://schemas.openxmlformats.org/officeDocument/2006/docPropsVTypes"/>
</file>