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120" w:hRule="exact"/>
        </w:trPr>
        <w:tc>
          <w:tcPr>
            <w:tcW w:type="dxa" w:w="6257"/>
            <w:tcBorders>
              <w:top w:val="none" w:color="FFFFFF" w:sz="0"/>
              <w:left w:val="none" w:color="FFFFFF" w:sz="0"/>
              <w:bottom w:val="none" w:color="FFFFFF" w:sz="0"/>
              <w:right w:val="none" w:color="FFFFFF" w:sz="0"/>
            </w:tcBorders>
            <w:shd w:fill="002D72" w:color="auto" w:val="clear"/>
            <w:tcMar>
              <w:top w:type="dxa" w:w="80"/>
              <w:left w:type="dxa" w:w="260"/>
              <w:bottom w:type="dxa" w:w="80"/>
              <w:right w:type="dxa" w:w="0"/>
            </w:tcMar>
            <w:vAlign w:val="center"/>
          </w:tcPr>
          <w:p>
            <w:pPr>
              <w:spacing w:after="30"/>
            </w:pPr>
            <w:r>
              <w:rPr>
                <w:rFonts w:ascii="Georgia" w:cs="Georgia" w:eastAsia="Georgia" w:hAnsi="Georgia"/>
                <w:b/>
                <w:bCs/>
                <w:color w:val="FFFFFF"/>
                <w:sz w:val="50"/>
                <w:szCs w:val="50"/>
              </w:rPr>
              <w:t xml:space="preserve">JHTV</w:t>
            </w:r>
          </w:p>
          <w:p>
            <w:r>
              <w:rPr>
                <w:rFonts w:ascii="Helvetica Neue" w:cs="Helvetica Neue" w:eastAsia="Helvetica Neue" w:hAnsi="Helvetica Neue"/>
                <w:b/>
                <w:bCs/>
                <w:color w:val="68ACE5"/>
                <w:spacing w:val="16"/>
                <w:sz w:val="15"/>
                <w:szCs w:val="15"/>
              </w:rPr>
              <w:t xml:space="preserve">JOHNS HOPKINS TECHNOLOGY VENTURES</w:t>
            </w:r>
          </w:p>
        </w:tc>
        <w:tc>
          <w:tcPr>
            <w:tcW w:type="dxa" w:w="5119"/>
            <w:tcBorders>
              <w:top w:val="none" w:color="FFFFFF" w:sz="0"/>
              <w:left w:val="none" w:color="FFFFFF" w:sz="0"/>
              <w:bottom w:val="none" w:color="FFFFFF" w:sz="0"/>
              <w:right w:val="none" w:color="FFFFFF" w:sz="0"/>
            </w:tcBorders>
            <w:shd w:fill="002D72" w:color="auto" w:val="clear"/>
            <w:tcMar>
              <w:top w:type="dxa" w:w="80"/>
              <w:left w:type="dxa" w:w="0"/>
              <w:bottom w:type="dxa" w:w="80"/>
              <w:right w:type="dxa" w:w="260"/>
            </w:tcMar>
            <w:vAlign w:val="center"/>
          </w:tcPr>
          <w:p>
            <w:pPr>
              <w:pBdr>
                <w:bottom w:val="single" w:color="CBA052" w:sz="6" w:space="2"/>
              </w:pBdr>
              <w:spacing w:after="50"/>
              <w:jc w:val="right"/>
            </w:pPr>
            <w:r>
              <w:rPr>
                <w:rFonts w:ascii="Helvetica Neue" w:cs="Helvetica Neue" w:eastAsia="Helvetica Neue" w:hAnsi="Helvetica Neue"/>
                <w:b/>
                <w:bCs/>
                <w:color w:val="CBA052"/>
                <w:spacing w:val="20"/>
                <w:sz w:val="16"/>
                <w:szCs w:val="16"/>
              </w:rPr>
              <w:t xml:space="preserve">TECHNOLOGY OPPORTUNITY BRIEF</w:t>
            </w:r>
          </w:p>
          <w:p>
            <w:pPr>
              <w:jc w:val="right"/>
            </w:pPr>
            <w:r>
              <w:rPr>
                <w:rFonts w:ascii="Helvetica Neue" w:cs="Helvetica Neue" w:eastAsia="Helvetica Neue" w:hAnsi="Helvetica Neue"/>
                <w:color w:val="FFFFFF"/>
                <w:sz w:val="16"/>
                <w:szCs w:val="16"/>
              </w:rPr>
              <w:t xml:space="preserve">ventures.jhu.edu</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080" w:hRule="exact"/>
        </w:trPr>
        <w:tc>
          <w:tcPr>
            <w:tcW w:type="dxa" w:w="1500"/>
            <w:tcBorders>
              <w:top w:val="none" w:color="FFFFFF" w:sz="0"/>
              <w:left w:val="none" w:color="FFFFFF" w:sz="0"/>
              <w:bottom w:val="none" w:color="FFFFFF" w:sz="0"/>
              <w:right w:val="none" w:color="FFFFFF" w:sz="0"/>
            </w:tcBorders>
            <w:shd w:fill="002D72" w:color="auto" w:val="clear"/>
            <w:tcMar>
              <w:top w:type="dxa" w:w="80"/>
              <w:left w:type="dxa" w:w="160"/>
              <w:bottom w:type="dxa" w:w="80"/>
              <w:right w:type="dxa" w:w="60"/>
            </w:tcMar>
            <w:vAlign w:val="center"/>
          </w:tcPr>
          <w:p>
            <w:pPr>
              <w:spacing w:after="40"/>
            </w:pPr>
            <w:r>
              <w:rPr>
                <w:rFonts w:ascii="Helvetica Neue" w:cs="Helvetica Neue" w:eastAsia="Helvetica Neue" w:hAnsi="Helvetica Neue"/>
                <w:b/>
                <w:bCs/>
                <w:color w:val="FFFFFF"/>
                <w:spacing w:val="6"/>
                <w:sz w:val="13"/>
                <w:szCs w:val="13"/>
              </w:rPr>
              <w:t xml:space="preserve">NEUROTECH</w:t>
            </w:r>
          </w:p>
          <w:p>
            <w:pPr>
              <w:spacing w:after="0"/>
            </w:pPr>
            <w:r>
              <w:rPr>
                <w:rFonts w:ascii="Helvetica Neue" w:cs="Helvetica Neue" w:eastAsia="Helvetica Neue" w:hAnsi="Helvetica Neue"/>
                <w:b/>
                <w:bCs/>
                <w:color w:val="FFFFFF"/>
                <w:spacing w:val="6"/>
                <w:sz w:val="13"/>
                <w:szCs w:val="13"/>
              </w:rPr>
              <w:t xml:space="preserve">ROBOTICS</w:t>
            </w:r>
          </w:p>
        </w:tc>
        <w:tc>
          <w:tcPr>
            <w:tcW w:type="dxa" w:w="9876"/>
            <w:tcBorders>
              <w:top w:val="none" w:color="FFFFFF" w:sz="0"/>
              <w:left w:val="none" w:color="FFFFFF" w:sz="0"/>
              <w:bottom w:val="none" w:color="FFFFFF" w:sz="0"/>
              <w:right w:val="none" w:color="FFFFFF" w:sz="0"/>
            </w:tcBorders>
            <w:shd w:fill="CBA052" w:color="auto" w:val="clear"/>
            <w:tcMar>
              <w:top w:type="dxa" w:w="80"/>
              <w:left w:type="dxa" w:w="220"/>
              <w:bottom w:type="dxa" w:w="80"/>
              <w:right w:type="dxa" w:w="260"/>
            </w:tcMar>
            <w:vAlign w:val="center"/>
          </w:tcPr>
          <w:p>
            <w:pPr>
              <w:spacing w:after="20"/>
            </w:pPr>
            <w:r>
              <w:rPr>
                <w:rFonts w:ascii="Georgia" w:cs="Georgia" w:eastAsia="Georgia" w:hAnsi="Georgia"/>
                <w:b/>
                <w:bCs/>
                <w:color w:val="31261D"/>
                <w:sz w:val="44"/>
                <w:szCs w:val="44"/>
              </w:rPr>
              <w:t xml:space="preserve">Phantom Neuro</w:t>
            </w:r>
          </w:p>
          <w:p>
            <w:pPr>
              <w:spacing w:after="50"/>
            </w:pPr>
            <w:r>
              <w:rPr>
                <w:rFonts w:ascii="Georgia" w:cs="Georgia" w:eastAsia="Georgia" w:hAnsi="Georgia"/>
                <w:i/>
                <w:iCs/>
                <w:color w:val="002D72"/>
                <w:sz w:val="17"/>
                <w:szCs w:val="17"/>
              </w:rPr>
              <w:t xml:space="preserve">Minimally Invasive Neural Interface for Intuitive Prosthetic and Robotic Control</w:t>
            </w:r>
          </w:p>
          <w:p>
            <w:r>
              <w:rPr>
                <w:rFonts w:ascii="Helvetica Neue" w:cs="Helvetica Neue" w:eastAsia="Helvetica Neue" w:hAnsi="Helvetica Neue"/>
                <w:b/>
                <w:bCs/>
                <w:color w:val="FFFFFF"/>
                <w:spacing w:val="8"/>
                <w:sz w:val="13"/>
                <w:szCs w:val="13"/>
                <w:shd w:fill="002D72" w:color="auto" w:val="clear"/>
              </w:rPr>
              <w:t xml:space="preserve">  SERIES A — $11.7M RECEIVED  </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53"/>
            <w:tcBorders>
              <w:top w:val="none" w:color="FFFFFF" w:sz="0"/>
              <w:left w:val="none" w:color="FFFFFF" w:sz="0"/>
              <w:bottom w:val="none" w:color="FFFFFF" w:sz="0"/>
              <w:right w:val="none" w:color="FFFFFF" w:sz="0"/>
            </w:tcBorders>
            <w:tcMar>
              <w:top w:type="dxa" w:w="160"/>
              <w:left w:type="dxa" w:w="0"/>
              <w:bottom w:type="dxa" w:w="0"/>
              <w:right w:type="dxa" w:w="220"/>
            </w:tcMar>
          </w:tcPr>
          <w:p>
            <w:pPr>
              <w:pBdr>
                <w:bottom w:val="single" w:color="CBA052" w:sz="10" w:space="2"/>
              </w:pBdr>
              <w:spacing w:after="40" w:before="130"/>
            </w:pPr>
            <w:r>
              <w:rPr>
                <w:rFonts w:ascii="Georgia" w:cs="Georgia" w:eastAsia="Georgia" w:hAnsi="Georgia"/>
                <w:b/>
                <w:bCs/>
                <w:color w:val="002D72"/>
                <w:spacing w:val="14"/>
                <w:sz w:val="19"/>
                <w:szCs w:val="19"/>
              </w:rPr>
              <w:t xml:space="preserve">UNMET CLINICAL NEED</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Over 1 billion people worldwide live with musculoskeletal disabilities, and existing prosthetic control schemes remain unintuitive, slow to train on, and disconnected from natural movement.</w:t>
            </w:r>
          </w:p>
          <w:p>
            <w:pPr>
              <w:pBdr>
                <w:bottom w:val="single" w:color="CBA052" w:sz="10" w:space="2"/>
              </w:pBdr>
              <w:spacing w:after="40" w:before="130"/>
            </w:pPr>
            <w:r>
              <w:rPr>
                <w:rFonts w:ascii="Georgia" w:cs="Georgia" w:eastAsia="Georgia" w:hAnsi="Georgia"/>
                <w:b/>
                <w:bCs/>
                <w:color w:val="002D72"/>
                <w:spacing w:val="14"/>
                <w:sz w:val="19"/>
                <w:szCs w:val="19"/>
              </w:rPr>
              <w:t xml:space="preserve">THE TECHNOLOGY</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A minimally invasive neural interface, originally developed at Johns Hopkins University School of Medicine, that decodes signals from residual nerve and muscle tissue to control prosthetic limbs and robotic exoskeletons with natural, intuitive motion.</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Built and de-risked prototypes through a full-stack system: implant, signal processing, and device control, allowing complex robotic systems to operate like natural extensions of the body.</w:t>
            </w:r>
          </w:p>
          <w:p>
            <w:pPr>
              <w:pBdr>
                <w:bottom w:val="single" w:color="CBA052" w:sz="10" w:space="2"/>
              </w:pBdr>
              <w:spacing w:after="40" w:before="130"/>
            </w:pPr>
            <w:r>
              <w:rPr>
                <w:rFonts w:ascii="Georgia" w:cs="Georgia" w:eastAsia="Georgia" w:hAnsi="Georgia"/>
                <w:b/>
                <w:bCs/>
                <w:color w:val="002D72"/>
                <w:spacing w:val="14"/>
                <w:sz w:val="19"/>
                <w:szCs w:val="19"/>
              </w:rPr>
              <w:t xml:space="preserve">MARKET BACKGROUND</w:t>
            </w:r>
          </w:p>
          <w:p>
            <w:pPr>
              <w:spacing w:after="45" w:line="250"/>
            </w:pPr>
            <w:r>
              <w:rPr>
                <w:rFonts w:ascii="Helvetica Neue" w:cs="Helvetica Neue" w:eastAsia="Helvetica Neue" w:hAnsi="Helvetica Neue"/>
                <w:color w:val="31261D"/>
                <w:sz w:val="17"/>
                <w:szCs w:val="17"/>
              </w:rPr>
              <w:t xml:space="preserve">Demand for more natural human-machine interfaces is accelerating across both clinical prosthetics and broader robotics/exoskeleton applications.</w:t>
            </w:r>
          </w:p>
          <w:p>
            <w:pPr>
              <w:pBdr>
                <w:bottom w:val="single" w:color="CBA052" w:sz="10" w:space="2"/>
              </w:pBdr>
              <w:spacing w:after="40" w:before="130"/>
            </w:pPr>
            <w:r>
              <w:rPr>
                <w:rFonts w:ascii="Georgia" w:cs="Georgia" w:eastAsia="Georgia" w:hAnsi="Georgia"/>
                <w:b/>
                <w:bCs/>
                <w:color w:val="002D72"/>
                <w:spacing w:val="14"/>
                <w:sz w:val="19"/>
                <w:szCs w:val="19"/>
              </w:rPr>
              <w:t xml:space="preserve">VALIDATION &amp; TRACTION</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Average gesture-recognition accuracy of 94% in clinical trials of naïve participants.</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Received FDA Breakthrough Device and TAP designations; approved for a first-in-human clinical study.</w:t>
            </w:r>
          </w:p>
          <w:p>
            <w:pPr>
              <w:spacing w:after="40" w:before="20" w:line="240"/>
            </w:pPr>
            <w:r>
              <w:rPr>
                <w:rFonts w:ascii="Helvetica Neue" w:cs="Helvetica Neue" w:eastAsia="Helvetica Neue" w:hAnsi="Helvetica Neue"/>
                <w:i/>
                <w:iCs/>
                <w:color w:val="A6192E"/>
                <w:sz w:val="14"/>
                <w:szCs w:val="14"/>
              </w:rPr>
              <w:t xml:space="preserve">⚑ Deck lists $11.7M received toward a $15M raise with first-in-human data planned in Australia (2025); public reporting cites a separate $19M Series A led by Ottobock (April 2025) and FDA approval of a first-in-human study for 2026 — confirm which figures and timeline are current.</w:t>
            </w:r>
          </w:p>
          <w:p>
            <w:pPr>
              <w:pBdr>
                <w:bottom w:val="single" w:color="CBA052" w:sz="10" w:space="2"/>
              </w:pBdr>
              <w:spacing w:after="40" w:before="130"/>
            </w:pPr>
            <w:r>
              <w:rPr>
                <w:rFonts w:ascii="Georgia" w:cs="Georgia" w:eastAsia="Georgia" w:hAnsi="Georgia"/>
                <w:b/>
                <w:bCs/>
                <w:color w:val="002D72"/>
                <w:spacing w:val="14"/>
                <w:sz w:val="19"/>
                <w:szCs w:val="19"/>
              </w:rPr>
              <w:t xml:space="preserve">DEVELOPMENT STATUS</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Stage:</w:t>
            </w:r>
            <w:r>
              <w:rPr>
                <w:rFonts w:ascii="Helvetica Neue" w:cs="Helvetica Neue" w:eastAsia="Helvetica Neue" w:hAnsi="Helvetica Neue"/>
                <w:color w:val="31261D"/>
                <w:sz w:val="17"/>
                <w:szCs w:val="17"/>
              </w:rPr>
              <w:t xml:space="preserve"> Series A · </w:t>
            </w:r>
            <w:r>
              <w:rPr>
                <w:rFonts w:ascii="Helvetica Neue" w:cs="Helvetica Neue" w:eastAsia="Helvetica Neue" w:hAnsi="Helvetica Neue"/>
                <w:b/>
                <w:bCs/>
                <w:color w:val="002D72"/>
                <w:sz w:val="17"/>
                <w:szCs w:val="17"/>
              </w:rPr>
              <w:t xml:space="preserve">Received:</w:t>
            </w:r>
            <w:r>
              <w:rPr>
                <w:rFonts w:ascii="Helvetica Neue" w:cs="Helvetica Neue" w:eastAsia="Helvetica Neue" w:hAnsi="Helvetica Neue"/>
                <w:color w:val="31261D"/>
                <w:sz w:val="17"/>
                <w:szCs w:val="17"/>
              </w:rPr>
              <w:t xml:space="preserve"> $11.7M · </w:t>
            </w:r>
            <w:r>
              <w:rPr>
                <w:rFonts w:ascii="Helvetica Neue" w:cs="Helvetica Neue" w:eastAsia="Helvetica Neue" w:hAnsi="Helvetica Neue"/>
                <w:b/>
                <w:bCs/>
                <w:color w:val="002D72"/>
                <w:sz w:val="17"/>
                <w:szCs w:val="17"/>
              </w:rPr>
              <w:t xml:space="preserve">Raising:</w:t>
            </w:r>
            <w:r>
              <w:rPr>
                <w:rFonts w:ascii="Helvetica Neue" w:cs="Helvetica Neue" w:eastAsia="Helvetica Neue" w:hAnsi="Helvetica Neue"/>
                <w:color w:val="31261D"/>
                <w:sz w:val="17"/>
                <w:szCs w:val="17"/>
              </w:rPr>
              <w:t xml:space="preserve"> $15M (per deck).</w:t>
            </w:r>
          </w:p>
          <w:p>
            <w:pPr>
              <w:pBdr>
                <w:bottom w:val="single" w:color="CBA052" w:sz="10" w:space="2"/>
              </w:pBdr>
              <w:spacing w:after="40" w:before="130"/>
            </w:pPr>
            <w:r>
              <w:rPr>
                <w:rFonts w:ascii="Georgia" w:cs="Georgia" w:eastAsia="Georgia" w:hAnsi="Georgia"/>
                <w:b/>
                <w:bCs/>
                <w:color w:val="002D72"/>
                <w:spacing w:val="14"/>
                <w:sz w:val="19"/>
                <w:szCs w:val="19"/>
              </w:rPr>
              <w:t xml:space="preserve">INTELLECTUAL PROPERTY</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IP Status:</w:t>
            </w:r>
            <w:r>
              <w:rPr>
                <w:rFonts w:ascii="Helvetica Neue" w:cs="Helvetica Neue" w:eastAsia="Helvetica Neue" w:hAnsi="Helvetica Neue"/>
                <w:color w:val="31261D"/>
                <w:sz w:val="17"/>
                <w:szCs w:val="17"/>
              </w:rPr>
              <w:t xml:space="preserve"> Patented.</w:t>
            </w:r>
          </w:p>
        </w:tc>
        <w:tc>
          <w:tcPr>
            <w:tcW w:type="dxa" w:w="4323"/>
            <w:tcBorders>
              <w:top w:val="none" w:color="FFFFFF" w:sz="0"/>
              <w:left w:val="single" w:color="CBA052" w:sz="14"/>
              <w:bottom w:val="none" w:color="FFFFFF" w:sz="0"/>
              <w:right w:val="none" w:color="FFFFFF" w:sz="0"/>
            </w:tcBorders>
            <w:shd w:fill="F4F1EA" w:color="auto" w:val="clear"/>
            <w:tcMar>
              <w:top w:type="dxa" w:w="160"/>
              <w:left w:type="dxa" w:w="240"/>
              <w:bottom w:type="dxa" w:w="0"/>
              <w:right w:type="dxa" w:w="200"/>
            </w:tcMar>
          </w:tcPr>
          <w:p>
            <w:pPr>
              <w:pBdr>
                <w:bottom w:val="single" w:color="CBA052" w:sz="10" w:space="2"/>
              </w:pBdr>
              <w:spacing w:after="50" w:before="0"/>
            </w:pPr>
            <w:r>
              <w:rPr>
                <w:rFonts w:ascii="Georgia" w:cs="Georgia" w:eastAsia="Georgia" w:hAnsi="Georgia"/>
                <w:b/>
                <w:bCs/>
                <w:color w:val="002D72"/>
                <w:spacing w:val="16"/>
                <w:sz w:val="17"/>
                <w:szCs w:val="17"/>
              </w:rPr>
              <w:t xml:space="preserve">PRINCIPAL INVESTIGATORS</w:t>
            </w:r>
          </w:p>
          <w:p>
            <w:pPr>
              <w:spacing w:after="4"/>
            </w:pPr>
            <w:r>
              <w:rPr>
                <w:rFonts w:ascii="Helvetica Neue" w:cs="Helvetica Neue" w:eastAsia="Helvetica Neue" w:hAnsi="Helvetica Neue"/>
                <w:b/>
                <w:bCs/>
                <w:color w:val="31261D"/>
                <w:sz w:val="17"/>
                <w:szCs w:val="17"/>
              </w:rPr>
              <w:t xml:space="preserve">Connor Glass, Ph.D.</w:t>
            </w:r>
          </w:p>
          <w:p>
            <w:pPr>
              <w:spacing w:after="36"/>
            </w:pPr>
            <w:r>
              <w:rPr>
                <w:rFonts w:ascii="Helvetica Neue" w:cs="Helvetica Neue" w:eastAsia="Helvetica Neue" w:hAnsi="Helvetica Neue"/>
                <w:i/>
                <w:iCs/>
                <w:color w:val="5B5347"/>
                <w:sz w:val="14"/>
                <w:szCs w:val="14"/>
              </w:rPr>
              <w:t xml:space="preserve">Founder &amp; CEO; technology originated at JHU School of Medicine</w:t>
            </w:r>
          </w:p>
          <w:p>
            <w:pPr>
              <w:pBdr>
                <w:bottom w:val="single" w:color="CBA052" w:sz="10" w:space="2"/>
              </w:pBdr>
              <w:spacing w:after="50" w:before="180"/>
            </w:pPr>
            <w:r>
              <w:rPr>
                <w:rFonts w:ascii="Georgia" w:cs="Georgia" w:eastAsia="Georgia" w:hAnsi="Georgia"/>
                <w:b/>
                <w:bCs/>
                <w:color w:val="002D72"/>
                <w:spacing w:val="16"/>
                <w:sz w:val="17"/>
                <w:szCs w:val="17"/>
              </w:rPr>
              <w:t xml:space="preserve">KEY METRICS</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STAGE</w:t>
            </w:r>
            <w:r>
              <w:rPr>
                <w:rFonts w:ascii="Georgia" w:cs="Georgia" w:eastAsia="Georgia" w:hAnsi="Georgia"/>
                <w:b/>
                <w:bCs/>
                <w:color w:val="002D72"/>
                <w:sz w:val="19"/>
                <w:szCs w:val="19"/>
              </w:rPr>
              <w:t xml:space="preserve">	Series A</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RECEIVED</w:t>
            </w:r>
            <w:r>
              <w:rPr>
                <w:rFonts w:ascii="Georgia" w:cs="Georgia" w:eastAsia="Georgia" w:hAnsi="Georgia"/>
                <w:b/>
                <w:bCs/>
                <w:color w:val="002D72"/>
                <w:sz w:val="19"/>
                <w:szCs w:val="19"/>
              </w:rPr>
              <w:t xml:space="preserve">	$11.7M</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RAISING</w:t>
            </w:r>
            <w:r>
              <w:rPr>
                <w:rFonts w:ascii="Georgia" w:cs="Georgia" w:eastAsia="Georgia" w:hAnsi="Georgia"/>
                <w:b/>
                <w:bCs/>
                <w:color w:val="002D72"/>
                <w:sz w:val="19"/>
                <w:szCs w:val="19"/>
              </w:rPr>
              <w:t xml:space="preserve">	$15M</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GESTURE ACCURACY</w:t>
            </w:r>
            <w:r>
              <w:rPr>
                <w:rFonts w:ascii="Georgia" w:cs="Georgia" w:eastAsia="Georgia" w:hAnsi="Georgia"/>
                <w:b/>
                <w:bCs/>
                <w:color w:val="002D72"/>
                <w:sz w:val="19"/>
                <w:szCs w:val="19"/>
              </w:rPr>
              <w:t xml:space="preserve">	94%</w:t>
            </w:r>
          </w:p>
          <w:p>
            <w:pPr>
              <w:pBdr>
                <w:top w:val="single" w:color="DCD4C2" w:sz="5" w:space="4"/>
              </w:pBdr>
              <w:spacing w:after="0"/>
            </w:pPr>
          </w:p>
          <w:p>
            <w:pPr>
              <w:pBdr>
                <w:bottom w:val="single" w:color="CBA052" w:sz="10" w:space="2"/>
              </w:pBdr>
              <w:spacing w:after="50" w:before="180"/>
            </w:pPr>
            <w:r>
              <w:rPr>
                <w:rFonts w:ascii="Georgia" w:cs="Georgia" w:eastAsia="Georgia" w:hAnsi="Georgia"/>
                <w:b/>
                <w:bCs/>
                <w:color w:val="002D72"/>
                <w:spacing w:val="16"/>
                <w:sz w:val="17"/>
                <w:szCs w:val="17"/>
              </w:rPr>
              <w:t xml:space="preserve">APPLICATIONS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Upper- and lower-limb prosthetic control</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Robotic exoskeleton interfaces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Broader human-machine interaction research</w:t>
            </w:r>
          </w:p>
          <w:p>
            <w:pPr>
              <w:pBdr>
                <w:bottom w:val="single" w:color="CBA052" w:sz="10" w:space="2"/>
              </w:pBdr>
              <w:spacing w:after="50" w:before="180"/>
            </w:pPr>
            <w:r>
              <w:rPr>
                <w:rFonts w:ascii="Georgia" w:cs="Georgia" w:eastAsia="Georgia" w:hAnsi="Georgia"/>
                <w:b/>
                <w:bCs/>
                <w:color w:val="002D72"/>
                <w:spacing w:val="16"/>
                <w:sz w:val="17"/>
                <w:szCs w:val="17"/>
              </w:rPr>
              <w:t xml:space="preserve">WHY IT WINS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Minimally invasive </w:t>
            </w:r>
            <w:r>
              <w:rPr>
                <w:rFonts w:ascii="Helvetica Neue" w:cs="Helvetica Neue" w:eastAsia="Helvetica Neue" w:hAnsi="Helvetica Neue"/>
                <w:color w:val="31261D"/>
                <w:sz w:val="16"/>
                <w:szCs w:val="16"/>
              </w:rPr>
              <w:t xml:space="preserve">— avoids the surgical burden of fully implanted interfaces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FDA Breakthrough designation </w:t>
            </w:r>
            <w:r>
              <w:rPr>
                <w:rFonts w:ascii="Helvetica Neue" w:cs="Helvetica Neue" w:eastAsia="Helvetica Neue" w:hAnsi="Helvetica Neue"/>
                <w:color w:val="31261D"/>
                <w:sz w:val="16"/>
                <w:szCs w:val="16"/>
              </w:rPr>
              <w:t xml:space="preserve">— plus TAP designation and a cleared first-in-human path</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Backed by name-brand prosthetics investor </w:t>
            </w:r>
            <w:r>
              <w:rPr>
                <w:rFonts w:ascii="Helvetica Neue" w:cs="Helvetica Neue" w:eastAsia="Helvetica Neue" w:hAnsi="Helvetica Neue"/>
                <w:color w:val="31261D"/>
                <w:sz w:val="16"/>
                <w:szCs w:val="16"/>
              </w:rPr>
              <w:t xml:space="preserve">— Series A led by Ottobock</w:t>
            </w:r>
          </w:p>
          <w:p>
            <w:pPr>
              <w:pBdr>
                <w:bottom w:val="single" w:color="CBA052" w:sz="10" w:space="2"/>
              </w:pBdr>
              <w:spacing w:after="50" w:before="180"/>
            </w:pPr>
            <w:r>
              <w:rPr>
                <w:rFonts w:ascii="Georgia" w:cs="Georgia" w:eastAsia="Georgia" w:hAnsi="Georgia"/>
                <w:b/>
                <w:bCs/>
                <w:color w:val="002D72"/>
                <w:spacing w:val="16"/>
                <w:sz w:val="17"/>
                <w:szCs w:val="17"/>
              </w:rPr>
              <w:t xml:space="preserve">FOR MORE INFORMATION, CONTACT</w:t>
            </w:r>
          </w:p>
          <w:p>
            <w:pPr>
              <w:spacing w:after="10"/>
            </w:pPr>
            <w:r>
              <w:rPr>
                <w:rFonts w:ascii="Helvetica Neue" w:cs="Helvetica Neue" w:eastAsia="Helvetica Neue" w:hAnsi="Helvetica Neue"/>
                <w:b/>
                <w:bCs/>
                <w:color w:val="31261D"/>
                <w:sz w:val="16"/>
                <w:szCs w:val="16"/>
              </w:rPr>
              <w:t xml:space="preserve">Johns Hopkins Technology Ventures</w:t>
            </w:r>
          </w:p>
          <w:p>
            <w:pPr>
              <w:spacing w:after="50"/>
            </w:pPr>
            <w:r>
              <w:rPr>
                <w:rFonts w:ascii="Helvetica Neue" w:cs="Helvetica Neue" w:eastAsia="Helvetica Neue" w:hAnsi="Helvetica Neue"/>
                <w:color w:val="002D72"/>
                <w:sz w:val="16"/>
                <w:szCs w:val="16"/>
              </w:rPr>
              <w:t xml:space="preserve">ventures.jhu.edu</w:t>
            </w:r>
          </w:p>
          <w:p>
            <w:pPr>
              <w:spacing w:after="40" w:before="20" w:line="240"/>
            </w:pPr>
            <w:r>
              <w:rPr>
                <w:rFonts w:ascii="Helvetica Neue" w:cs="Helvetica Neue" w:eastAsia="Helvetica Neue" w:hAnsi="Helvetica Neue"/>
                <w:i/>
                <w:iCs/>
                <w:color w:val="A6192E"/>
                <w:sz w:val="14"/>
                <w:szCs w:val="14"/>
              </w:rPr>
              <w:t xml:space="preserve">⚑ No JHTV case/reference code or named licensing/BD contact for this technology was provided in the source deck.</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20" w:hRule="exact"/>
        </w:trPr>
        <w:tc>
          <w:tcPr>
            <w:tcW w:type="dxa" w:w="3792"/>
            <w:tcBorders>
              <w:top w:val="none" w:color="FFFFFF" w:sz="0"/>
              <w:left w:val="none" w:color="FFFFFF" w:sz="0"/>
              <w:bottom w:val="none" w:color="FFFFFF" w:sz="0"/>
              <w:right w:val="none" w:color="FFFFFF" w:sz="0"/>
            </w:tcBorders>
            <w:shd w:fill="002D72" w:color="auto" w:val="clear"/>
            <w:tcMar>
              <w:top w:type="dxa" w:w="60"/>
              <w:left w:type="dxa" w:w="260"/>
              <w:bottom w:type="dxa" w:w="60"/>
              <w:right w:type="dxa" w:w="0"/>
            </w:tcMar>
            <w:vAlign w:val="center"/>
          </w:tcPr>
          <w:p>
            <w:r>
              <w:rPr>
                <w:rFonts w:ascii="Helvetica Neue" w:cs="Helvetica Neue" w:eastAsia="Helvetica Neue" w:hAnsi="Helvetica Neue"/>
                <w:color w:val="68ACE5"/>
                <w:sz w:val="13"/>
                <w:szCs w:val="13"/>
              </w:rPr>
              <w:t xml:space="preserve">JHTV Ref: </w:t>
            </w:r>
            <w:r>
              <w:rPr>
                <w:rFonts w:ascii="Helvetica Neue" w:cs="Helvetica Neue" w:eastAsia="Helvetica Neue" w:hAnsi="Helvetica Neue"/>
                <w:color w:val="FFFFFF"/>
                <w:sz w:val="13"/>
                <w:szCs w:val="13"/>
              </w:rPr>
              <w:t xml:space="preserve">[not in source]</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0"/>
            </w:tcMar>
            <w:vAlign w:val="center"/>
          </w:tcPr>
          <w:p>
            <w:pPr>
              <w:jc w:val="center"/>
            </w:pPr>
            <w:r>
              <w:rPr>
                <w:rFonts w:ascii="Helvetica Neue" w:cs="Helvetica Neue" w:eastAsia="Helvetica Neue" w:hAnsi="Helvetica Neue"/>
                <w:color w:val="FFFFFF"/>
                <w:sz w:val="13"/>
                <w:szCs w:val="13"/>
              </w:rPr>
              <w:t xml:space="preserve">1</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260"/>
            </w:tcMar>
            <w:vAlign w:val="center"/>
          </w:tcPr>
          <w:p>
            <w:pPr>
              <w:jc w:val="right"/>
            </w:pPr>
            <w:r>
              <w:rPr>
                <w:rFonts w:ascii="Helvetica Neue" w:cs="Helvetica Neue" w:eastAsia="Helvetica Neue" w:hAnsi="Helvetica Neue"/>
                <w:color w:val="FFFFFF"/>
                <w:sz w:val="13"/>
                <w:szCs w:val="13"/>
              </w:rPr>
              <w:t xml:space="preserve">ventures.jhu.edu</w:t>
            </w:r>
          </w:p>
        </w:tc>
      </w:tr>
    </w:tbl>
    <w:sectPr>
      <w:pgSz w:w="12240" w:h="15840" w:orient="portrait"/>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2026-06-24T00:05:43.964Z</dcterms:created>
  <dcterms:modified xsi:type="dcterms:W3CDTF">2026-06-24T00:05:43.964Z</dcterms:modified>
</cp:coreProperties>
</file>

<file path=docProps/custom.xml><?xml version="1.0" encoding="utf-8"?>
<Properties xmlns="http://schemas.openxmlformats.org/officeDocument/2006/custom-properties" xmlns:vt="http://schemas.openxmlformats.org/officeDocument/2006/docPropsVTypes"/>
</file>