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120" w:hRule="exact"/>
        </w:trPr>
        <w:tc>
          <w:tcPr>
            <w:tcW w:type="dxa" w:w="6257"/>
            <w:tcBorders>
              <w:top w:val="none" w:color="FFFFFF" w:sz="0"/>
              <w:left w:val="none" w:color="FFFFFF" w:sz="0"/>
              <w:bottom w:val="none" w:color="FFFFFF" w:sz="0"/>
              <w:right w:val="none" w:color="FFFFFF" w:sz="0"/>
            </w:tcBorders>
            <w:shd w:fill="002D72" w:color="auto" w:val="clear"/>
            <w:tcMar>
              <w:top w:type="dxa" w:w="80"/>
              <w:left w:type="dxa" w:w="260"/>
              <w:bottom w:type="dxa" w:w="80"/>
              <w:right w:type="dxa" w:w="0"/>
            </w:tcMar>
            <w:vAlign w:val="center"/>
          </w:tcPr>
          <w:p>
            <w:pPr>
              <w:spacing w:after="30"/>
            </w:pPr>
            <w:r>
              <w:rPr>
                <w:rFonts w:ascii="Georgia" w:cs="Georgia" w:eastAsia="Georgia" w:hAnsi="Georgia"/>
                <w:b/>
                <w:bCs/>
                <w:color w:val="FFFFFF"/>
                <w:sz w:val="50"/>
                <w:szCs w:val="50"/>
              </w:rPr>
              <w:t xml:space="preserve">JHTV</w:t>
            </w:r>
          </w:p>
          <w:p>
            <w:r>
              <w:rPr>
                <w:rFonts w:ascii="Helvetica Neue" w:cs="Helvetica Neue" w:eastAsia="Helvetica Neue" w:hAnsi="Helvetica Neue"/>
                <w:b/>
                <w:bCs/>
                <w:color w:val="68ACE5"/>
                <w:spacing w:val="16"/>
                <w:sz w:val="15"/>
                <w:szCs w:val="15"/>
              </w:rPr>
              <w:t xml:space="preserve">JOHNS HOPKINS TECHNOLOGY VENTURES</w:t>
            </w:r>
          </w:p>
        </w:tc>
        <w:tc>
          <w:tcPr>
            <w:tcW w:type="dxa" w:w="5119"/>
            <w:tcBorders>
              <w:top w:val="none" w:color="FFFFFF" w:sz="0"/>
              <w:left w:val="none" w:color="FFFFFF" w:sz="0"/>
              <w:bottom w:val="none" w:color="FFFFFF" w:sz="0"/>
              <w:right w:val="none" w:color="FFFFFF" w:sz="0"/>
            </w:tcBorders>
            <w:shd w:fill="002D72" w:color="auto" w:val="clear"/>
            <w:tcMar>
              <w:top w:type="dxa" w:w="80"/>
              <w:left w:type="dxa" w:w="0"/>
              <w:bottom w:type="dxa" w:w="80"/>
              <w:right w:type="dxa" w:w="260"/>
            </w:tcMar>
            <w:vAlign w:val="center"/>
          </w:tcPr>
          <w:p>
            <w:pPr>
              <w:pBdr>
                <w:bottom w:val="single" w:color="CBA052" w:sz="6" w:space="2"/>
              </w:pBdr>
              <w:spacing w:after="50"/>
              <w:jc w:val="right"/>
            </w:pPr>
            <w:r>
              <w:rPr>
                <w:rFonts w:ascii="Helvetica Neue" w:cs="Helvetica Neue" w:eastAsia="Helvetica Neue" w:hAnsi="Helvetica Neue"/>
                <w:b/>
                <w:bCs/>
                <w:color w:val="CBA052"/>
                <w:spacing w:val="20"/>
                <w:sz w:val="16"/>
                <w:szCs w:val="16"/>
              </w:rPr>
              <w:t xml:space="preserve">TECHNOLOGY OPPORTUNITY BRIEF</w:t>
            </w:r>
          </w:p>
          <w:p>
            <w:pPr>
              <w:jc w:val="right"/>
            </w:pPr>
            <w:r>
              <w:rPr>
                <w:rFonts w:ascii="Helvetica Neue" w:cs="Helvetica Neue" w:eastAsia="Helvetica Neue" w:hAnsi="Helvetica Neue"/>
                <w:color w:val="FFFFFF"/>
                <w:sz w:val="16"/>
                <w:szCs w:val="16"/>
              </w:rPr>
              <w:t xml:space="preserve">ventures.jhu.edu</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rHeight w:val="1080" w:hRule="exact"/>
        </w:trPr>
        <w:tc>
          <w:tcPr>
            <w:tcW w:type="dxa" w:w="1500"/>
            <w:tcBorders>
              <w:top w:val="none" w:color="FFFFFF" w:sz="0"/>
              <w:left w:val="none" w:color="FFFFFF" w:sz="0"/>
              <w:bottom w:val="none" w:color="FFFFFF" w:sz="0"/>
              <w:right w:val="none" w:color="FFFFFF" w:sz="0"/>
            </w:tcBorders>
            <w:shd w:fill="002D72" w:color="auto" w:val="clear"/>
            <w:tcMar>
              <w:top w:type="dxa" w:w="80"/>
              <w:left w:type="dxa" w:w="160"/>
              <w:bottom w:type="dxa" w:w="80"/>
              <w:right w:type="dxa" w:w="60"/>
            </w:tcMar>
            <w:vAlign w:val="center"/>
          </w:tcPr>
          <w:p>
            <w:pPr>
              <w:spacing w:after="40"/>
            </w:pPr>
            <w:r>
              <w:rPr>
                <w:rFonts w:ascii="Helvetica Neue" w:cs="Helvetica Neue" w:eastAsia="Helvetica Neue" w:hAnsi="Helvetica Neue"/>
                <w:b/>
                <w:bCs/>
                <w:color w:val="FFFFFF"/>
                <w:spacing w:val="6"/>
                <w:sz w:val="13"/>
                <w:szCs w:val="13"/>
              </w:rPr>
              <w:t xml:space="preserve">EDTECH</w:t>
            </w:r>
          </w:p>
          <w:p>
            <w:pPr>
              <w:spacing w:after="0"/>
            </w:pPr>
            <w:r>
              <w:rPr>
                <w:rFonts w:ascii="Helvetica Neue" w:cs="Helvetica Neue" w:eastAsia="Helvetica Neue" w:hAnsi="Helvetica Neue"/>
                <w:b/>
                <w:bCs/>
                <w:color w:val="FFFFFF"/>
                <w:spacing w:val="6"/>
                <w:sz w:val="13"/>
                <w:szCs w:val="13"/>
              </w:rPr>
              <w:t xml:space="preserve">MUSIC</w:t>
            </w:r>
          </w:p>
        </w:tc>
        <w:tc>
          <w:tcPr>
            <w:tcW w:type="dxa" w:w="9876"/>
            <w:tcBorders>
              <w:top w:val="none" w:color="FFFFFF" w:sz="0"/>
              <w:left w:val="none" w:color="FFFFFF" w:sz="0"/>
              <w:bottom w:val="none" w:color="FFFFFF" w:sz="0"/>
              <w:right w:val="none" w:color="FFFFFF" w:sz="0"/>
            </w:tcBorders>
            <w:shd w:fill="CBA052" w:color="auto" w:val="clear"/>
            <w:tcMar>
              <w:top w:type="dxa" w:w="80"/>
              <w:left w:type="dxa" w:w="220"/>
              <w:bottom w:type="dxa" w:w="80"/>
              <w:right w:type="dxa" w:w="260"/>
            </w:tcMar>
            <w:vAlign w:val="center"/>
          </w:tcPr>
          <w:p>
            <w:pPr>
              <w:spacing w:after="20"/>
            </w:pPr>
            <w:r>
              <w:rPr>
                <w:rFonts w:ascii="Georgia" w:cs="Georgia" w:eastAsia="Georgia" w:hAnsi="Georgia"/>
                <w:b/>
                <w:bCs/>
                <w:color w:val="31261D"/>
                <w:sz w:val="44"/>
                <w:szCs w:val="44"/>
              </w:rPr>
              <w:t xml:space="preserve">Read Ahead</w:t>
            </w:r>
          </w:p>
          <w:p>
            <w:pPr>
              <w:spacing w:after="50"/>
            </w:pPr>
            <w:r>
              <w:rPr>
                <w:rFonts w:ascii="Georgia" w:cs="Georgia" w:eastAsia="Georgia" w:hAnsi="Georgia"/>
                <w:i/>
                <w:iCs/>
                <w:color w:val="002D72"/>
                <w:sz w:val="17"/>
                <w:szCs w:val="17"/>
              </w:rPr>
              <w:t xml:space="preserve">App-Based Training System for Rapid Sight-Reading Fluency</w:t>
            </w:r>
          </w:p>
          <w:p>
            <w:r>
              <w:rPr>
                <w:rFonts w:ascii="Helvetica Neue" w:cs="Helvetica Neue" w:eastAsia="Helvetica Neue" w:hAnsi="Helvetica Neue"/>
                <w:b/>
                <w:bCs/>
                <w:color w:val="FFFFFF"/>
                <w:spacing w:val="8"/>
                <w:sz w:val="13"/>
                <w:szCs w:val="13"/>
                <w:shd w:fill="002D72" w:color="auto" w:val="clear"/>
              </w:rPr>
              <w:t xml:space="preserve">  SEED — FUNDING N/A  </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053"/>
            <w:tcBorders>
              <w:top w:val="none" w:color="FFFFFF" w:sz="0"/>
              <w:left w:val="none" w:color="FFFFFF" w:sz="0"/>
              <w:bottom w:val="none" w:color="FFFFFF" w:sz="0"/>
              <w:right w:val="none" w:color="FFFFFF" w:sz="0"/>
            </w:tcBorders>
            <w:tcMar>
              <w:top w:type="dxa" w:w="160"/>
              <w:left w:type="dxa" w:w="0"/>
              <w:bottom w:type="dxa" w:w="0"/>
              <w:right w:type="dxa" w:w="220"/>
            </w:tcMar>
          </w:tcPr>
          <w:p>
            <w:pPr>
              <w:pBdr>
                <w:bottom w:val="single" w:color="CBA052" w:sz="10" w:space="2"/>
              </w:pBdr>
              <w:spacing w:after="40" w:before="130"/>
            </w:pPr>
            <w:r>
              <w:rPr>
                <w:rFonts w:ascii="Georgia" w:cs="Georgia" w:eastAsia="Georgia" w:hAnsi="Georgia"/>
                <w:b/>
                <w:bCs/>
                <w:color w:val="002D72"/>
                <w:spacing w:val="14"/>
                <w:sz w:val="19"/>
                <w:szCs w:val="19"/>
              </w:rPr>
              <w:t xml:space="preserve">UNMET CLINICAL NEED</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Sight-reading is one of the hardest skills for music students to build, and traditional practice methods give limited structured feedback on the specific habit of reading ahead of where the hands are playing.</w:t>
            </w:r>
          </w:p>
          <w:p>
            <w:pPr>
              <w:pBdr>
                <w:bottom w:val="single" w:color="CBA052" w:sz="10" w:space="2"/>
              </w:pBdr>
              <w:spacing w:after="40" w:before="130"/>
            </w:pPr>
            <w:r>
              <w:rPr>
                <w:rFonts w:ascii="Georgia" w:cs="Georgia" w:eastAsia="Georgia" w:hAnsi="Georgia"/>
                <w:b/>
                <w:bCs/>
                <w:color w:val="002D72"/>
                <w:spacing w:val="14"/>
                <w:sz w:val="19"/>
                <w:szCs w:val="19"/>
              </w:rPr>
              <w:t xml:space="preserve">THE TECHNOLOGY</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Read Ahead</w:t>
            </w:r>
            <w:r>
              <w:rPr>
                <w:rFonts w:ascii="Helvetica Neue" w:cs="Helvetica Neue" w:eastAsia="Helvetica Neue" w:hAnsi="Helvetica Neue"/>
                <w:color w:val="31261D"/>
                <w:sz w:val="17"/>
                <w:szCs w:val="17"/>
              </w:rPr>
              <w:t xml:space="preserve"> is an app that progressively erases the musical score as the student plays, forcing the eyes to stay ahead of the hands and training rapid, fluent sight-reading.</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Offered as a Read Ahead iPad app and a Read Ahead Hybrid format pairing a physical book with the app, with a leveled curriculum (prep through level 4) and a Teacher's Portal for instructor oversight.</w:t>
            </w:r>
          </w:p>
          <w:p>
            <w:pPr>
              <w:pBdr>
                <w:bottom w:val="single" w:color="CBA052" w:sz="10" w:space="2"/>
              </w:pBdr>
              <w:spacing w:after="40" w:before="130"/>
            </w:pPr>
            <w:r>
              <w:rPr>
                <w:rFonts w:ascii="Georgia" w:cs="Georgia" w:eastAsia="Georgia" w:hAnsi="Georgia"/>
                <w:b/>
                <w:bCs/>
                <w:color w:val="002D72"/>
                <w:spacing w:val="14"/>
                <w:sz w:val="19"/>
                <w:szCs w:val="19"/>
              </w:rPr>
              <w:t xml:space="preserve">MARKET BACKGROUND</w:t>
            </w:r>
          </w:p>
          <w:p>
            <w:pPr>
              <w:spacing w:after="45" w:line="250"/>
            </w:pPr>
            <w:r>
              <w:rPr>
                <w:rFonts w:ascii="Helvetica Neue" w:cs="Helvetica Neue" w:eastAsia="Helvetica Neue" w:hAnsi="Helvetica Neue"/>
                <w:color w:val="31261D"/>
                <w:sz w:val="17"/>
                <w:szCs w:val="17"/>
              </w:rPr>
              <w:t xml:space="preserve">Built by two Peabody Institute (Johns Hopkins) music theory faculty to address a widely recognized gap in conservatory and private-lesson piano instruction.</w:t>
            </w:r>
          </w:p>
          <w:p>
            <w:pPr>
              <w:pBdr>
                <w:bottom w:val="single" w:color="CBA052" w:sz="10" w:space="2"/>
              </w:pBdr>
              <w:spacing w:after="40" w:before="130"/>
            </w:pPr>
            <w:r>
              <w:rPr>
                <w:rFonts w:ascii="Georgia" w:cs="Georgia" w:eastAsia="Georgia" w:hAnsi="Georgia"/>
                <w:b/>
                <w:bCs/>
                <w:color w:val="002D72"/>
                <w:spacing w:val="14"/>
                <w:sz w:val="19"/>
                <w:szCs w:val="19"/>
              </w:rPr>
              <w:t xml:space="preserve">VALIDATION &amp; TRACTION</w:t>
            </w:r>
          </w:p>
          <w:p>
            <w:pPr>
              <w:spacing w:after="42" w:line="250"/>
              <w:ind w:left="220" w:hanging="220"/>
            </w:pPr>
            <w:r>
              <w:rPr>
                <w:rFonts w:ascii="Helvetica Neue" w:cs="Helvetica Neue" w:eastAsia="Helvetica Neue" w:hAnsi="Helvetica Neue"/>
                <w:b/>
                <w:bCs/>
                <w:color w:val="CBA052"/>
                <w:sz w:val="17"/>
                <w:szCs w:val="17"/>
              </w:rPr>
              <w:t xml:space="preserve">■  </w:t>
            </w:r>
            <w:r>
              <w:rPr>
                <w:rFonts w:ascii="Helvetica Neue" w:cs="Helvetica Neue" w:eastAsia="Helvetica Neue" w:hAnsi="Helvetica Neue"/>
                <w:color w:val="31261D"/>
                <w:sz w:val="17"/>
                <w:szCs w:val="17"/>
              </w:rPr>
              <w:t xml:space="preserve">Received a $100,000 Maryland Innovation Initiative grant (2013) to support development.</w:t>
            </w:r>
          </w:p>
          <w:p>
            <w:pPr>
              <w:spacing w:after="40" w:before="20" w:line="240"/>
            </w:pPr>
            <w:r>
              <w:rPr>
                <w:rFonts w:ascii="Helvetica Neue" w:cs="Helvetica Neue" w:eastAsia="Helvetica Neue" w:hAnsi="Helvetica Neue"/>
                <w:i/>
                <w:iCs/>
                <w:color w:val="A6192E"/>
                <w:sz w:val="14"/>
                <w:szCs w:val="14"/>
              </w:rPr>
              <w:t xml:space="preserve">⚑ Source deck page for this technology carries an internal "TO BE VETTED BY FF" annotation and a placeholder "add" under Updates, suggesting the page is an unfinished draft — confirm current funding and traction figures, which the deck itself lists as N/A.</w:t>
            </w:r>
          </w:p>
          <w:p>
            <w:pPr>
              <w:pBdr>
                <w:bottom w:val="single" w:color="CBA052" w:sz="10" w:space="2"/>
              </w:pBdr>
              <w:spacing w:after="40" w:before="130"/>
            </w:pPr>
            <w:r>
              <w:rPr>
                <w:rFonts w:ascii="Georgia" w:cs="Georgia" w:eastAsia="Georgia" w:hAnsi="Georgia"/>
                <w:b/>
                <w:bCs/>
                <w:color w:val="002D72"/>
                <w:spacing w:val="14"/>
                <w:sz w:val="19"/>
                <w:szCs w:val="19"/>
              </w:rPr>
              <w:t xml:space="preserve">DEVELOPMENT STATUS</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Stage:</w:t>
            </w:r>
            <w:r>
              <w:rPr>
                <w:rFonts w:ascii="Helvetica Neue" w:cs="Helvetica Neue" w:eastAsia="Helvetica Neue" w:hAnsi="Helvetica Neue"/>
                <w:color w:val="31261D"/>
                <w:sz w:val="17"/>
                <w:szCs w:val="17"/>
              </w:rPr>
              <w:t xml:space="preserve"> Seed · </w:t>
            </w:r>
            <w:r>
              <w:rPr>
                <w:rFonts w:ascii="Helvetica Neue" w:cs="Helvetica Neue" w:eastAsia="Helvetica Neue" w:hAnsi="Helvetica Neue"/>
                <w:b/>
                <w:bCs/>
                <w:color w:val="002D72"/>
                <w:sz w:val="17"/>
                <w:szCs w:val="17"/>
              </w:rPr>
              <w:t xml:space="preserve">Funding:</w:t>
            </w:r>
            <w:r>
              <w:rPr>
                <w:rFonts w:ascii="Helvetica Neue" w:cs="Helvetica Neue" w:eastAsia="Helvetica Neue" w:hAnsi="Helvetica Neue"/>
                <w:color w:val="31261D"/>
                <w:sz w:val="17"/>
                <w:szCs w:val="17"/>
              </w:rPr>
              <w:t xml:space="preserve"> N/A in source deck.</w:t>
            </w:r>
          </w:p>
          <w:p>
            <w:pPr>
              <w:pBdr>
                <w:bottom w:val="single" w:color="CBA052" w:sz="10" w:space="2"/>
              </w:pBdr>
              <w:spacing w:after="40" w:before="130"/>
            </w:pPr>
            <w:r>
              <w:rPr>
                <w:rFonts w:ascii="Georgia" w:cs="Georgia" w:eastAsia="Georgia" w:hAnsi="Georgia"/>
                <w:b/>
                <w:bCs/>
                <w:color w:val="002D72"/>
                <w:spacing w:val="14"/>
                <w:sz w:val="19"/>
                <w:szCs w:val="19"/>
              </w:rPr>
              <w:t xml:space="preserve">INTELLECTUAL PROPERTY</w:t>
            </w:r>
          </w:p>
          <w:p>
            <w:pPr>
              <w:spacing w:after="45" w:line="250"/>
            </w:pPr>
            <w:r>
              <w:rPr>
                <w:rFonts w:ascii="Helvetica Neue" w:cs="Helvetica Neue" w:eastAsia="Helvetica Neue" w:hAnsi="Helvetica Neue"/>
                <w:color w:val="31261D"/>
                <w:sz w:val="17"/>
                <w:szCs w:val="17"/>
              </w:rPr>
              <w:t xml:space="preserve"/>
            </w:r>
            <w:r>
              <w:rPr>
                <w:rFonts w:ascii="Helvetica Neue" w:cs="Helvetica Neue" w:eastAsia="Helvetica Neue" w:hAnsi="Helvetica Neue"/>
                <w:b/>
                <w:bCs/>
                <w:color w:val="002D72"/>
                <w:sz w:val="17"/>
                <w:szCs w:val="17"/>
              </w:rPr>
              <w:t xml:space="preserve">IP Status:</w:t>
            </w:r>
            <w:r>
              <w:rPr>
                <w:rFonts w:ascii="Helvetica Neue" w:cs="Helvetica Neue" w:eastAsia="Helvetica Neue" w:hAnsi="Helvetica Neue"/>
                <w:color w:val="31261D"/>
                <w:sz w:val="17"/>
                <w:szCs w:val="17"/>
              </w:rPr>
              <w:t xml:space="preserve"> [not in source].</w:t>
            </w:r>
          </w:p>
        </w:tc>
        <w:tc>
          <w:tcPr>
            <w:tcW w:type="dxa" w:w="4323"/>
            <w:tcBorders>
              <w:top w:val="none" w:color="FFFFFF" w:sz="0"/>
              <w:left w:val="single" w:color="CBA052" w:sz="14"/>
              <w:bottom w:val="none" w:color="FFFFFF" w:sz="0"/>
              <w:right w:val="none" w:color="FFFFFF" w:sz="0"/>
            </w:tcBorders>
            <w:shd w:fill="F4F1EA" w:color="auto" w:val="clear"/>
            <w:tcMar>
              <w:top w:type="dxa" w:w="160"/>
              <w:left w:type="dxa" w:w="240"/>
              <w:bottom w:type="dxa" w:w="0"/>
              <w:right w:type="dxa" w:w="200"/>
            </w:tcMar>
          </w:tcPr>
          <w:p>
            <w:pPr>
              <w:pBdr>
                <w:bottom w:val="single" w:color="CBA052" w:sz="10" w:space="2"/>
              </w:pBdr>
              <w:spacing w:after="50" w:before="0"/>
            </w:pPr>
            <w:r>
              <w:rPr>
                <w:rFonts w:ascii="Georgia" w:cs="Georgia" w:eastAsia="Georgia" w:hAnsi="Georgia"/>
                <w:b/>
                <w:bCs/>
                <w:color w:val="002D72"/>
                <w:spacing w:val="16"/>
                <w:sz w:val="17"/>
                <w:szCs w:val="17"/>
              </w:rPr>
              <w:t xml:space="preserve">PRINCIPAL INVESTIGATORS</w:t>
            </w:r>
          </w:p>
          <w:p>
            <w:pPr>
              <w:spacing w:after="4"/>
            </w:pPr>
            <w:r>
              <w:rPr>
                <w:rFonts w:ascii="Helvetica Neue" w:cs="Helvetica Neue" w:eastAsia="Helvetica Neue" w:hAnsi="Helvetica Neue"/>
                <w:b/>
                <w:bCs/>
                <w:color w:val="31261D"/>
                <w:sz w:val="17"/>
                <w:szCs w:val="17"/>
              </w:rPr>
              <w:t xml:space="preserve">Travis Hardaway, D.M.A.</w:t>
            </w:r>
          </w:p>
          <w:p>
            <w:pPr>
              <w:spacing w:after="36"/>
            </w:pPr>
            <w:r>
              <w:rPr>
                <w:rFonts w:ascii="Helvetica Neue" w:cs="Helvetica Neue" w:eastAsia="Helvetica Neue" w:hAnsi="Helvetica Neue"/>
                <w:i/>
                <w:iCs/>
                <w:color w:val="5B5347"/>
                <w:sz w:val="14"/>
                <w:szCs w:val="14"/>
              </w:rPr>
              <w:t xml:space="preserve">Co-Founder; Music Theory Faculty, Peabody Institute, Johns Hopkins University</w:t>
            </w:r>
          </w:p>
          <w:p>
            <w:pPr>
              <w:spacing w:after="4"/>
            </w:pPr>
            <w:r>
              <w:rPr>
                <w:rFonts w:ascii="Helvetica Neue" w:cs="Helvetica Neue" w:eastAsia="Helvetica Neue" w:hAnsi="Helvetica Neue"/>
                <w:b/>
                <w:bCs/>
                <w:color w:val="31261D"/>
                <w:sz w:val="17"/>
                <w:szCs w:val="17"/>
              </w:rPr>
              <w:t xml:space="preserve">Ken Johansen</w:t>
            </w:r>
          </w:p>
          <w:p>
            <w:pPr>
              <w:spacing w:after="36"/>
            </w:pPr>
            <w:r>
              <w:rPr>
                <w:rFonts w:ascii="Helvetica Neue" w:cs="Helvetica Neue" w:eastAsia="Helvetica Neue" w:hAnsi="Helvetica Neue"/>
                <w:i/>
                <w:iCs/>
                <w:color w:val="5B5347"/>
                <w:sz w:val="14"/>
                <w:szCs w:val="14"/>
              </w:rPr>
              <w:t xml:space="preserve">Co-Founder; Music Theory Faculty, Peabody Institute, Johns Hopkins University</w:t>
            </w:r>
          </w:p>
          <w:p>
            <w:pPr>
              <w:pBdr>
                <w:bottom w:val="single" w:color="CBA052" w:sz="10" w:space="2"/>
              </w:pBdr>
              <w:spacing w:after="50" w:before="180"/>
            </w:pPr>
            <w:r>
              <w:rPr>
                <w:rFonts w:ascii="Georgia" w:cs="Georgia" w:eastAsia="Georgia" w:hAnsi="Georgia"/>
                <w:b/>
                <w:bCs/>
                <w:color w:val="002D72"/>
                <w:spacing w:val="16"/>
                <w:sz w:val="17"/>
                <w:szCs w:val="17"/>
              </w:rPr>
              <w:t xml:space="preserve">KEY METRICS</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STAGE</w:t>
            </w:r>
            <w:r>
              <w:rPr>
                <w:rFonts w:ascii="Georgia" w:cs="Georgia" w:eastAsia="Georgia" w:hAnsi="Georgia"/>
                <w:b/>
                <w:bCs/>
                <w:color w:val="002D72"/>
                <w:sz w:val="19"/>
                <w:szCs w:val="19"/>
              </w:rPr>
              <w:t xml:space="preserve">	Seed</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GRANT</w:t>
            </w:r>
            <w:r>
              <w:rPr>
                <w:rFonts w:ascii="Georgia" w:cs="Georgia" w:eastAsia="Georgia" w:hAnsi="Georgia"/>
                <w:b/>
                <w:bCs/>
                <w:color w:val="002D72"/>
                <w:sz w:val="19"/>
                <w:szCs w:val="19"/>
              </w:rPr>
              <w:t xml:space="preserve">	$100K (MII, 2013)</w:t>
            </w:r>
          </w:p>
          <w:p>
            <w:pPr>
              <w:pBdr>
                <w:top w:val="single" w:color="DCD4C2" w:sz="5" w:space="4"/>
              </w:pBdr>
              <w:tabs>
                <w:tab w:val="right" w:pos="3563"/>
              </w:tabs>
              <w:spacing w:after="45" w:before="45"/>
            </w:pPr>
            <w:r>
              <w:rPr>
                <w:rFonts w:ascii="Helvetica Neue" w:cs="Helvetica Neue" w:eastAsia="Helvetica Neue" w:hAnsi="Helvetica Neue"/>
                <w:color w:val="5B5347"/>
                <w:spacing w:val="6"/>
                <w:sz w:val="13"/>
                <w:szCs w:val="13"/>
              </w:rPr>
              <w:t xml:space="preserve">CURRICULUM</w:t>
            </w:r>
            <w:r>
              <w:rPr>
                <w:rFonts w:ascii="Georgia" w:cs="Georgia" w:eastAsia="Georgia" w:hAnsi="Georgia"/>
                <w:b/>
                <w:bCs/>
                <w:color w:val="002D72"/>
                <w:sz w:val="19"/>
                <w:szCs w:val="19"/>
              </w:rPr>
              <w:t xml:space="preserve">	Prep – Level 4</w:t>
            </w:r>
          </w:p>
          <w:p>
            <w:pPr>
              <w:pBdr>
                <w:top w:val="single" w:color="DCD4C2" w:sz="5" w:space="4"/>
              </w:pBdr>
              <w:spacing w:after="0"/>
            </w:pPr>
          </w:p>
          <w:p>
            <w:pPr>
              <w:pBdr>
                <w:bottom w:val="single" w:color="CBA052" w:sz="10" w:space="2"/>
              </w:pBdr>
              <w:spacing w:after="50" w:before="180"/>
            </w:pPr>
            <w:r>
              <w:rPr>
                <w:rFonts w:ascii="Georgia" w:cs="Georgia" w:eastAsia="Georgia" w:hAnsi="Georgia"/>
                <w:b/>
                <w:bCs/>
                <w:color w:val="002D72"/>
                <w:spacing w:val="16"/>
                <w:sz w:val="17"/>
                <w:szCs w:val="17"/>
              </w:rPr>
              <w:t xml:space="preserve">APPLICATIONS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Conservatory and private piano instruction</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Self-guided sight-reading practice</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color w:val="31261D"/>
                <w:sz w:val="16"/>
                <w:szCs w:val="16"/>
              </w:rPr>
              <w:t xml:space="preserve">Instructor-monitored classroom use via Teacher's Portal</w:t>
            </w:r>
          </w:p>
          <w:p>
            <w:pPr>
              <w:pBdr>
                <w:bottom w:val="single" w:color="CBA052" w:sz="10" w:space="2"/>
              </w:pBdr>
              <w:spacing w:after="50" w:before="180"/>
            </w:pPr>
            <w:r>
              <w:rPr>
                <w:rFonts w:ascii="Georgia" w:cs="Georgia" w:eastAsia="Georgia" w:hAnsi="Georgia"/>
                <w:b/>
                <w:bCs/>
                <w:color w:val="002D72"/>
                <w:spacing w:val="16"/>
                <w:sz w:val="17"/>
                <w:szCs w:val="17"/>
              </w:rPr>
              <w:t xml:space="preserve">WHY IT WINS</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Built by music educators </w:t>
            </w:r>
            <w:r>
              <w:rPr>
                <w:rFonts w:ascii="Helvetica Neue" w:cs="Helvetica Neue" w:eastAsia="Helvetica Neue" w:hAnsi="Helvetica Neue"/>
                <w:color w:val="31261D"/>
                <w:sz w:val="16"/>
                <w:szCs w:val="16"/>
              </w:rPr>
              <w:t xml:space="preserve">— designed directly from classroom pedagogy, not engineering guesswork</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Structured curriculum </w:t>
            </w:r>
            <w:r>
              <w:rPr>
                <w:rFonts w:ascii="Helvetica Neue" w:cs="Helvetica Neue" w:eastAsia="Helvetica Neue" w:hAnsi="Helvetica Neue"/>
                <w:color w:val="31261D"/>
                <w:sz w:val="16"/>
                <w:szCs w:val="16"/>
              </w:rPr>
              <w:t xml:space="preserve">— leveled progression from beginner through advanced</w:t>
            </w:r>
          </w:p>
          <w:p>
            <w:pPr>
              <w:spacing w:after="70" w:line="250"/>
              <w:ind w:left="200" w:hanging="200"/>
            </w:pPr>
            <w:r>
              <w:rPr>
                <w:rFonts w:ascii="Helvetica Neue" w:cs="Helvetica Neue" w:eastAsia="Helvetica Neue" w:hAnsi="Helvetica Neue"/>
                <w:b/>
                <w:bCs/>
                <w:color w:val="CBA052"/>
                <w:sz w:val="16"/>
                <w:szCs w:val="16"/>
              </w:rPr>
              <w:t xml:space="preserve">■  </w:t>
            </w:r>
            <w:r>
              <w:rPr>
                <w:rFonts w:ascii="Helvetica Neue" w:cs="Helvetica Neue" w:eastAsia="Helvetica Neue" w:hAnsi="Helvetica Neue"/>
                <w:b/>
                <w:bCs/>
                <w:color w:val="002D72"/>
                <w:sz w:val="16"/>
                <w:szCs w:val="16"/>
              </w:rPr>
              <w:t xml:space="preserve">Two delivery formats </w:t>
            </w:r>
            <w:r>
              <w:rPr>
                <w:rFonts w:ascii="Helvetica Neue" w:cs="Helvetica Neue" w:eastAsia="Helvetica Neue" w:hAnsi="Helvetica Neue"/>
                <w:color w:val="31261D"/>
                <w:sz w:val="16"/>
                <w:szCs w:val="16"/>
              </w:rPr>
              <w:t xml:space="preserve">— pure app or hybrid book-plus-app</w:t>
            </w:r>
          </w:p>
          <w:p>
            <w:pPr>
              <w:pBdr>
                <w:bottom w:val="single" w:color="CBA052" w:sz="10" w:space="2"/>
              </w:pBdr>
              <w:spacing w:after="50" w:before="180"/>
            </w:pPr>
            <w:r>
              <w:rPr>
                <w:rFonts w:ascii="Georgia" w:cs="Georgia" w:eastAsia="Georgia" w:hAnsi="Georgia"/>
                <w:b/>
                <w:bCs/>
                <w:color w:val="002D72"/>
                <w:spacing w:val="16"/>
                <w:sz w:val="17"/>
                <w:szCs w:val="17"/>
              </w:rPr>
              <w:t xml:space="preserve">FOR MORE INFORMATION, CONTACT</w:t>
            </w:r>
          </w:p>
          <w:p>
            <w:pPr>
              <w:spacing w:after="10"/>
            </w:pPr>
            <w:r>
              <w:rPr>
                <w:rFonts w:ascii="Helvetica Neue" w:cs="Helvetica Neue" w:eastAsia="Helvetica Neue" w:hAnsi="Helvetica Neue"/>
                <w:b/>
                <w:bCs/>
                <w:color w:val="31261D"/>
                <w:sz w:val="16"/>
                <w:szCs w:val="16"/>
              </w:rPr>
              <w:t xml:space="preserve">Johns Hopkins Technology Ventures</w:t>
            </w:r>
          </w:p>
          <w:p>
            <w:pPr>
              <w:spacing w:after="50"/>
            </w:pPr>
            <w:r>
              <w:rPr>
                <w:rFonts w:ascii="Helvetica Neue" w:cs="Helvetica Neue" w:eastAsia="Helvetica Neue" w:hAnsi="Helvetica Neue"/>
                <w:color w:val="002D72"/>
                <w:sz w:val="16"/>
                <w:szCs w:val="16"/>
              </w:rPr>
              <w:t xml:space="preserve">ventures.jhu.edu</w:t>
            </w:r>
          </w:p>
          <w:p>
            <w:pPr>
              <w:spacing w:after="40" w:before="20" w:line="240"/>
            </w:pPr>
            <w:r>
              <w:rPr>
                <w:rFonts w:ascii="Helvetica Neue" w:cs="Helvetica Neue" w:eastAsia="Helvetica Neue" w:hAnsi="Helvetica Neue"/>
                <w:i/>
                <w:iCs/>
                <w:color w:val="A6192E"/>
                <w:sz w:val="14"/>
                <w:szCs w:val="14"/>
              </w:rPr>
              <w:t xml:space="preserve">⚑ No named JHTV licensing/business development contact for this technology was provided in the source deck.</w:t>
            </w:r>
          </w:p>
        </w:tc>
      </w:tr>
    </w:tbl>
    <w:p>
      <w:pPr>
        <w:spacing w:after="0" w:before="0" w:line="20" w:lineRule="exact"/>
      </w:pPr>
      <w:r>
        <w:rPr>
          <w:sz w:val="2"/>
          <w:szCs w:val="2"/>
        </w:rPr>
        <w:t xml:space="preserve"/>
      </w:r>
    </w:p>
    <w:tbl>
      <w:tblPr>
        <w:tblW w:type="dxa" w:w="1137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20" w:hRule="exact"/>
        </w:trPr>
        <w:tc>
          <w:tcPr>
            <w:tcW w:type="dxa" w:w="3792"/>
            <w:tcBorders>
              <w:top w:val="none" w:color="FFFFFF" w:sz="0"/>
              <w:left w:val="none" w:color="FFFFFF" w:sz="0"/>
              <w:bottom w:val="none" w:color="FFFFFF" w:sz="0"/>
              <w:right w:val="none" w:color="FFFFFF" w:sz="0"/>
            </w:tcBorders>
            <w:shd w:fill="002D72" w:color="auto" w:val="clear"/>
            <w:tcMar>
              <w:top w:type="dxa" w:w="60"/>
              <w:left w:type="dxa" w:w="260"/>
              <w:bottom w:type="dxa" w:w="60"/>
              <w:right w:type="dxa" w:w="0"/>
            </w:tcMar>
            <w:vAlign w:val="center"/>
          </w:tcPr>
          <w:p>
            <w:r>
              <w:rPr>
                <w:rFonts w:ascii="Helvetica Neue" w:cs="Helvetica Neue" w:eastAsia="Helvetica Neue" w:hAnsi="Helvetica Neue"/>
                <w:color w:val="68ACE5"/>
                <w:sz w:val="13"/>
                <w:szCs w:val="13"/>
              </w:rPr>
              <w:t xml:space="preserve">JHTV Ref: </w:t>
            </w:r>
            <w:r>
              <w:rPr>
                <w:rFonts w:ascii="Helvetica Neue" w:cs="Helvetica Neue" w:eastAsia="Helvetica Neue" w:hAnsi="Helvetica Neue"/>
                <w:color w:val="FFFFFF"/>
                <w:sz w:val="13"/>
                <w:szCs w:val="13"/>
              </w:rPr>
              <w:t xml:space="preserve">C12109</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0"/>
            </w:tcMar>
            <w:vAlign w:val="center"/>
          </w:tcPr>
          <w:p>
            <w:pPr>
              <w:jc w:val="center"/>
            </w:pPr>
            <w:r>
              <w:rPr>
                <w:rFonts w:ascii="Helvetica Neue" w:cs="Helvetica Neue" w:eastAsia="Helvetica Neue" w:hAnsi="Helvetica Neue"/>
                <w:color w:val="FFFFFF"/>
                <w:sz w:val="13"/>
                <w:szCs w:val="13"/>
              </w:rPr>
              <w:t xml:space="preserve">1</w:t>
            </w:r>
          </w:p>
        </w:tc>
        <w:tc>
          <w:tcPr>
            <w:tcW w:type="dxa" w:w="3792"/>
            <w:tcBorders>
              <w:top w:val="none" w:color="FFFFFF" w:sz="0"/>
              <w:left w:val="none" w:color="FFFFFF" w:sz="0"/>
              <w:bottom w:val="none" w:color="FFFFFF" w:sz="0"/>
              <w:right w:val="none" w:color="FFFFFF" w:sz="0"/>
            </w:tcBorders>
            <w:shd w:fill="002D72" w:color="auto" w:val="clear"/>
            <w:tcMar>
              <w:top w:type="dxa" w:w="60"/>
              <w:left w:type="dxa" w:w="0"/>
              <w:bottom w:type="dxa" w:w="60"/>
              <w:right w:type="dxa" w:w="260"/>
            </w:tcMar>
            <w:vAlign w:val="center"/>
          </w:tcPr>
          <w:p>
            <w:pPr>
              <w:jc w:val="right"/>
            </w:pPr>
            <w:r>
              <w:rPr>
                <w:rFonts w:ascii="Helvetica Neue" w:cs="Helvetica Neue" w:eastAsia="Helvetica Neue" w:hAnsi="Helvetica Neue"/>
                <w:color w:val="FFFFFF"/>
                <w:sz w:val="13"/>
                <w:szCs w:val="13"/>
              </w:rPr>
              <w:t xml:space="preserve">ventures.jhu.edu</w:t>
            </w:r>
          </w:p>
        </w:tc>
      </w:tr>
    </w:tbl>
    <w:sectPr>
      <w:pgSz w:w="12240" w:h="15840" w:orient="portrait"/>
      <w:pgMar w:top="432" w:right="432" w:bottom="432" w:left="43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2026-06-24T00:17:59.444Z</dcterms:created>
  <dcterms:modified xsi:type="dcterms:W3CDTF">2026-06-24T00:17:59.444Z</dcterms:modified>
</cp:coreProperties>
</file>

<file path=docProps/custom.xml><?xml version="1.0" encoding="utf-8"?>
<Properties xmlns="http://schemas.openxmlformats.org/officeDocument/2006/custom-properties" xmlns:vt="http://schemas.openxmlformats.org/officeDocument/2006/docPropsVTypes"/>
</file>