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1120" w:hRule="exact"/>
        </w:trPr>
        <w:tc>
          <w:tcPr>
            <w:tcW w:type="dxa" w:w="625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80"/>
              <w:left w:type="dxa" w:w="260"/>
              <w:bottom w:type="dxa" w:w="80"/>
              <w:right w:type="dxa" w:w="0"/>
            </w:tcMar>
            <w:vAlign w:val="center"/>
          </w:tcPr>
          <w:p>
            <w:pPr>
              <w:spacing w:after="3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50"/>
                <w:szCs w:val="50"/>
              </w:rPr>
              <w:t xml:space="preserve">JHTV</w:t>
            </w:r>
          </w:p>
          <w:p>
            <w:r>
              <w:rPr>
                <w:rFonts w:ascii="Helvetica Neue" w:cs="Helvetica Neue" w:eastAsia="Helvetica Neue" w:hAnsi="Helvetica Neue"/>
                <w:b/>
                <w:bCs/>
                <w:color w:val="68ACE5"/>
                <w:spacing w:val="16"/>
                <w:sz w:val="15"/>
                <w:szCs w:val="15"/>
              </w:rPr>
              <w:t xml:space="preserve">JOHNS HOPKINS TECHNOLOGY VENTURES</w:t>
            </w:r>
          </w:p>
        </w:tc>
        <w:tc>
          <w:tcPr>
            <w:tcW w:type="dxa" w:w="51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80"/>
              <w:left w:type="dxa" w:w="0"/>
              <w:bottom w:type="dxa" w:w="80"/>
              <w:right w:type="dxa" w:w="260"/>
            </w:tcMar>
            <w:vAlign w:val="center"/>
          </w:tcPr>
          <w:p>
            <w:pPr>
              <w:pBdr>
                <w:bottom w:val="single" w:color="CBA052" w:sz="6" w:space="2"/>
              </w:pBdr>
              <w:spacing w:after="50"/>
              <w:jc w:val="right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pacing w:val="20"/>
                <w:sz w:val="16"/>
                <w:szCs w:val="16"/>
              </w:rPr>
              <w:t xml:space="preserve">TECHNOLOGY OPPORTUNITY BRIEF</w:t>
            </w:r>
          </w:p>
          <w:p>
            <w:pPr>
              <w:jc w:val="right"/>
            </w:pPr>
            <w:r>
              <w:rPr>
                <w:rFonts w:ascii="Helvetica Neue" w:cs="Helvetica Neue" w:eastAsia="Helvetica Neue" w:hAnsi="Helvetica Neue"/>
                <w:color w:val="FFFFFF"/>
                <w:sz w:val="16"/>
                <w:szCs w:val="16"/>
              </w:rPr>
              <w:t xml:space="preserve">ventures.jhu.edu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1080" w:hRule="exact"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80"/>
              <w:left w:type="dxa" w:w="160"/>
              <w:bottom w:type="dxa" w:w="80"/>
              <w:right w:type="dxa" w:w="60"/>
            </w:tcMar>
            <w:vAlign w:val="center"/>
          </w:tcPr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pacing w:val="6"/>
                <w:sz w:val="13"/>
                <w:szCs w:val="13"/>
              </w:rPr>
              <w:t xml:space="preserve">RESPIRATORY</w:t>
            </w:r>
          </w:p>
          <w:p>
            <w:pPr>
              <w:spacing w:after="0"/>
            </w:pPr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pacing w:val="6"/>
                <w:sz w:val="13"/>
                <w:szCs w:val="13"/>
              </w:rPr>
              <w:t xml:space="preserve">MEDICAL DEVICE</w:t>
            </w:r>
          </w:p>
        </w:tc>
        <w:tc>
          <w:tcPr>
            <w:tcW w:type="dxa" w:w="98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BA052" w:color="auto" w:val="clear"/>
            <w:tcMar>
              <w:top w:type="dxa" w:w="80"/>
              <w:left w:type="dxa" w:w="220"/>
              <w:bottom w:type="dxa" w:w="80"/>
              <w:right w:type="dxa" w:w="260"/>
            </w:tcMar>
            <w:vAlign w:val="center"/>
          </w:tcPr>
          <w:p>
            <w:pPr>
              <w:spacing w:after="20"/>
            </w:pPr>
            <w:r>
              <w:rPr>
                <w:rFonts w:ascii="Georgia" w:cs="Georgia" w:eastAsia="Georgia" w:hAnsi="Georgia"/>
                <w:b/>
                <w:bCs/>
                <w:color w:val="31261D"/>
                <w:sz w:val="44"/>
                <w:szCs w:val="44"/>
              </w:rPr>
              <w:t xml:space="preserve">X-COR</w:t>
            </w:r>
          </w:p>
          <w:p>
            <w:pPr>
              <w:spacing w:after="50"/>
            </w:pPr>
            <w:r>
              <w:rPr>
                <w:rFonts w:ascii="Georgia" w:cs="Georgia" w:eastAsia="Georgia" w:hAnsi="Georgia"/>
                <w:i/>
                <w:iCs/>
                <w:color w:val="002D72"/>
                <w:sz w:val="17"/>
                <w:szCs w:val="17"/>
              </w:rPr>
              <w:t xml:space="preserve">Ultra-Low Blood Flow Respiratory Dialysis for CO₂ Removal</w:t>
            </w:r>
          </w:p>
          <w:p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pacing w:val="8"/>
                <w:sz w:val="13"/>
                <w:szCs w:val="13"/>
                <w:shd w:fill="002D72" w:color="auto" w:val="clear"/>
              </w:rPr>
              <w:t xml:space="preserve">  SERIES A — $2.6M RAISED  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70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0"/>
              <w:bottom w:type="dxa" w:w="0"/>
              <w:right w:type="dxa" w:w="220"/>
            </w:tcMar>
          </w:tcPr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UNMET CLINICAL NEED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Respiratory failure is the fastest-growing cause of death, and current treatments — including mechanical ventilation — carry high costs, high morbidity, and high mortality.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Existing CO2-capture methods are inefficient, raise complication risk, and require specifically trained personnel to operate.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THE TECHNOLOGY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A respiratory dialysis device delivering high CO2 capture at ultra-low blood flows, designed to be safe, effective, and economically favorable versus existing extracorporeal CO2-removal systems.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Blood is drawn at flows under 300 mL/min through small catheters placeable by nursing staff under existing protocols — unlike comparable devices that require flows above 1 L/min and specialized physician placement.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MARKET BACKGROUND</w:t>
            </w:r>
          </w:p>
          <w:p>
            <w:pPr>
              <w:spacing w:after="45" w:line="250"/>
            </w:pP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CO2 capture eliminates mechanical-ventilation complications and reduces ICU utilization and length of stay; X-COR estimates the therapy can improve hospital profitability by more than 160%.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VALIDATION &amp; TRACTION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High CO2 capture rates demonstrated in pre-clinical models.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Pursuing FDA submission in 2026 with a clear path to 510(k) clearance.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DEVELOPMENT STATUS</w:t>
            </w:r>
          </w:p>
          <w:p>
            <w:pPr>
              <w:spacing w:after="45" w:line="250"/>
            </w:pP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/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Stage: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Series A ·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Raised: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$2.6M.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INTELLECTUAL PROPERTY</w:t>
            </w:r>
          </w:p>
          <w:p>
            <w:pPr>
              <w:spacing w:after="45" w:line="250"/>
            </w:pP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/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IP Status: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Patented.</w:t>
            </w:r>
          </w:p>
        </w:tc>
        <w:tc>
          <w:tcPr>
            <w:tcW w:type="dxa" w:w="4323"/>
            <w:tcBorders>
              <w:top w:val="none" w:color="FFFFFF" w:sz="0"/>
              <w:left w:val="single" w:color="CBA052" w:sz="14"/>
              <w:bottom w:val="none" w:color="FFFFFF" w:sz="0"/>
              <w:right w:val="none" w:color="FFFFFF" w:sz="0"/>
            </w:tcBorders>
            <w:shd w:fill="F4F1EA" w:color="auto" w:val="clear"/>
            <w:tcMar>
              <w:top w:type="dxa" w:w="160"/>
              <w:left w:type="dxa" w:w="240"/>
              <w:bottom w:type="dxa" w:w="0"/>
              <w:right w:type="dxa" w:w="200"/>
            </w:tcMar>
          </w:tcPr>
          <w:p>
            <w:pPr>
              <w:pBdr>
                <w:bottom w:val="single" w:color="CBA052" w:sz="10" w:space="2"/>
              </w:pBdr>
              <w:spacing w:after="50" w:before="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PRINCIPAL INVESTIGATORS</w:t>
            </w:r>
          </w:p>
          <w:p>
            <w:pPr>
              <w:spacing w:after="4"/>
            </w:pPr>
            <w:r>
              <w:rPr>
                <w:rFonts w:ascii="Helvetica Neue" w:cs="Helvetica Neue" w:eastAsia="Helvetica Neue" w:hAnsi="Helvetica Neue"/>
                <w:b/>
                <w:bCs/>
                <w:color w:val="31261D"/>
                <w:sz w:val="17"/>
                <w:szCs w:val="17"/>
              </w:rPr>
              <w:t xml:space="preserve">Steven Keller, M.D.</w:t>
            </w:r>
          </w:p>
          <w:p>
            <w:pPr>
              <w:spacing w:after="36"/>
            </w:pPr>
            <w:r>
              <w:rPr>
                <w:rFonts w:ascii="Helvetica Neue" w:cs="Helvetica Neue" w:eastAsia="Helvetica Neue" w:hAnsi="Helvetica Neue"/>
                <w:i/>
                <w:iCs/>
                <w:color w:val="5B5347"/>
                <w:sz w:val="14"/>
                <w:szCs w:val="14"/>
              </w:rPr>
              <w:t xml:space="preserve">Founder; Assistant Professor of Medicine (Pulmonary &amp; Critical Care), Johns Hopkins University School of Medicine</w:t>
            </w: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KEY METRICS</w:t>
            </w:r>
          </w:p>
          <w:p>
            <w:pPr>
              <w:pBdr>
                <w:top w:val="single" w:color="DCD4C2" w:sz="5" w:space="4"/>
              </w:pBdr>
              <w:tabs>
                <w:tab w:val="right" w:pos="3563"/>
              </w:tabs>
              <w:spacing w:after="45" w:before="45"/>
            </w:pPr>
            <w:r>
              <w:rPr>
                <w:rFonts w:ascii="Helvetica Neue" w:cs="Helvetica Neue" w:eastAsia="Helvetica Neue" w:hAnsi="Helvetica Neue"/>
                <w:color w:val="5B5347"/>
                <w:spacing w:val="6"/>
                <w:sz w:val="13"/>
                <w:szCs w:val="13"/>
              </w:rPr>
              <w:t xml:space="preserve">STAGE</w:t>
            </w:r>
            <w:r>
              <w:rPr>
                <w:rFonts w:ascii="Georgia" w:cs="Georgia" w:eastAsia="Georgia" w:hAnsi="Georgia"/>
                <w:b/>
                <w:bCs/>
                <w:color w:val="002D72"/>
                <w:sz w:val="19"/>
                <w:szCs w:val="19"/>
              </w:rPr>
              <w:t xml:space="preserve">	Series A</w:t>
            </w:r>
          </w:p>
          <w:p>
            <w:pPr>
              <w:pBdr>
                <w:top w:val="single" w:color="DCD4C2" w:sz="5" w:space="4"/>
              </w:pBdr>
              <w:tabs>
                <w:tab w:val="right" w:pos="3563"/>
              </w:tabs>
              <w:spacing w:after="45" w:before="45"/>
            </w:pPr>
            <w:r>
              <w:rPr>
                <w:rFonts w:ascii="Helvetica Neue" w:cs="Helvetica Neue" w:eastAsia="Helvetica Neue" w:hAnsi="Helvetica Neue"/>
                <w:color w:val="5B5347"/>
                <w:spacing w:val="6"/>
                <w:sz w:val="13"/>
                <w:szCs w:val="13"/>
              </w:rPr>
              <w:t xml:space="preserve">RAISED</w:t>
            </w:r>
            <w:r>
              <w:rPr>
                <w:rFonts w:ascii="Georgia" w:cs="Georgia" w:eastAsia="Georgia" w:hAnsi="Georgia"/>
                <w:b/>
                <w:bCs/>
                <w:color w:val="002D72"/>
                <w:sz w:val="19"/>
                <w:szCs w:val="19"/>
              </w:rPr>
              <w:t xml:space="preserve">	$2.6M</w:t>
            </w:r>
          </w:p>
          <w:p>
            <w:pPr>
              <w:pBdr>
                <w:top w:val="single" w:color="DCD4C2" w:sz="5" w:space="4"/>
              </w:pBdr>
              <w:tabs>
                <w:tab w:val="right" w:pos="3563"/>
              </w:tabs>
              <w:spacing w:after="45" w:before="45"/>
            </w:pPr>
            <w:r>
              <w:rPr>
                <w:rFonts w:ascii="Helvetica Neue" w:cs="Helvetica Neue" w:eastAsia="Helvetica Neue" w:hAnsi="Helvetica Neue"/>
                <w:color w:val="5B5347"/>
                <w:spacing w:val="6"/>
                <w:sz w:val="13"/>
                <w:szCs w:val="13"/>
              </w:rPr>
              <w:t xml:space="preserve">TARGET BLOOD FLOW</w:t>
            </w:r>
            <w:r>
              <w:rPr>
                <w:rFonts w:ascii="Georgia" w:cs="Georgia" w:eastAsia="Georgia" w:hAnsi="Georgia"/>
                <w:b/>
                <w:bCs/>
                <w:color w:val="002D72"/>
                <w:sz w:val="19"/>
                <w:szCs w:val="19"/>
              </w:rPr>
              <w:t xml:space="preserve">	&lt;300 mL/min</w:t>
            </w:r>
          </w:p>
          <w:p>
            <w:pPr>
              <w:pBdr>
                <w:top w:val="single" w:color="DCD4C2" w:sz="5" w:space="4"/>
              </w:pBdr>
              <w:tabs>
                <w:tab w:val="right" w:pos="3563"/>
              </w:tabs>
              <w:spacing w:after="45" w:before="45"/>
            </w:pPr>
            <w:r>
              <w:rPr>
                <w:rFonts w:ascii="Helvetica Neue" w:cs="Helvetica Neue" w:eastAsia="Helvetica Neue" w:hAnsi="Helvetica Neue"/>
                <w:color w:val="5B5347"/>
                <w:spacing w:val="6"/>
                <w:sz w:val="13"/>
                <w:szCs w:val="13"/>
              </w:rPr>
              <w:t xml:space="preserve">HOSPITAL PROFIT IMPACT</w:t>
            </w:r>
            <w:r>
              <w:rPr>
                <w:rFonts w:ascii="Georgia" w:cs="Georgia" w:eastAsia="Georgia" w:hAnsi="Georgia"/>
                <w:b/>
                <w:bCs/>
                <w:color w:val="002D72"/>
                <w:sz w:val="19"/>
                <w:szCs w:val="19"/>
              </w:rPr>
              <w:t xml:space="preserve">	&gt;160%</w:t>
            </w:r>
          </w:p>
          <w:p>
            <w:pPr>
              <w:pBdr>
                <w:top w:val="single" w:color="DCD4C2" w:sz="5" w:space="4"/>
              </w:pBdr>
              <w:spacing w:after="0"/>
            </w:pP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APPLICATIONS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Acute respiratory failure management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Mechanical-ventilation avoidance and weaning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ICU length-of-stay reduction</w:t>
            </w: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WHY IT WINS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6"/>
                <w:szCs w:val="16"/>
              </w:rPr>
              <w:t xml:space="preserve">Ultra-low blood flow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— placeable by nursing staff, no specialist required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6"/>
                <w:szCs w:val="16"/>
              </w:rPr>
              <w:t xml:space="preserve">Strong hospital economics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— modeled &gt;160% profit improvement per case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6"/>
                <w:szCs w:val="16"/>
              </w:rPr>
              <w:t xml:space="preserve">Clear regulatory path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— targeting 510(k) clearance via 2026 FDA submission</w:t>
            </w: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FOR MORE INFORMATION, CONTACT</w:t>
            </w:r>
          </w:p>
          <w:p>
            <w:pPr>
              <w:spacing w:after="10"/>
            </w:pPr>
            <w:r>
              <w:rPr>
                <w:rFonts w:ascii="Helvetica Neue" w:cs="Helvetica Neue" w:eastAsia="Helvetica Neue" w:hAnsi="Helvetica Neue"/>
                <w:b/>
                <w:bCs/>
                <w:color w:val="31261D"/>
                <w:sz w:val="16"/>
                <w:szCs w:val="16"/>
              </w:rPr>
              <w:t xml:space="preserve">Johns Hopkins Technology Ventures</w:t>
            </w:r>
          </w:p>
          <w:p>
            <w:pPr>
              <w:spacing w:after="50"/>
            </w:pPr>
            <w:r>
              <w:rPr>
                <w:rFonts w:ascii="Helvetica Neue" w:cs="Helvetica Neue" w:eastAsia="Helvetica Neue" w:hAnsi="Helvetica Neue"/>
                <w:color w:val="002D72"/>
                <w:sz w:val="16"/>
                <w:szCs w:val="16"/>
              </w:rPr>
              <w:t xml:space="preserve">ventures.jhu.edu</w:t>
            </w:r>
          </w:p>
          <w:p>
            <w:pPr>
              <w:spacing w:after="40" w:before="20" w:line="240"/>
            </w:pPr>
            <w:r>
              <w:rPr>
                <w:rFonts w:ascii="Helvetica Neue" w:cs="Helvetica Neue" w:eastAsia="Helvetica Neue" w:hAnsi="Helvetica Neue"/>
                <w:i/>
                <w:iCs/>
                <w:color w:val="A6192E"/>
                <w:sz w:val="14"/>
                <w:szCs w:val="14"/>
              </w:rPr>
              <w:t xml:space="preserve">⚑ No JHTV case/reference code or named licensing/BD contact for this technology was provided in the source deck; operating company (X-COR Therapeutics) is reported as Boston-based — confirm the current JHU IP/licensing relationship.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rHeight w:val="420" w:hRule="exact"/>
        </w:trPr>
        <w:tc>
          <w:tcPr>
            <w:tcW w:type="dxa" w:w="37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60"/>
              <w:left w:type="dxa" w:w="260"/>
              <w:bottom w:type="dxa" w:w="60"/>
              <w:right w:type="dxa" w:w="0"/>
            </w:tcMar>
            <w:vAlign w:val="center"/>
          </w:tcPr>
          <w:p>
            <w:r>
              <w:rPr>
                <w:rFonts w:ascii="Helvetica Neue" w:cs="Helvetica Neue" w:eastAsia="Helvetica Neue" w:hAnsi="Helvetica Neue"/>
                <w:color w:val="68ACE5"/>
                <w:sz w:val="13"/>
                <w:szCs w:val="13"/>
              </w:rPr>
              <w:t xml:space="preserve">JHTV Ref: </w:t>
            </w:r>
            <w:r>
              <w:rPr>
                <w:rFonts w:ascii="Helvetica Neue" w:cs="Helvetica Neue" w:eastAsia="Helvetica Neue" w:hAnsi="Helvetica Neue"/>
                <w:color w:val="FFFFFF"/>
                <w:sz w:val="13"/>
                <w:szCs w:val="13"/>
              </w:rPr>
              <w:t xml:space="preserve">[not in source]</w:t>
            </w:r>
          </w:p>
        </w:tc>
        <w:tc>
          <w:tcPr>
            <w:tcW w:type="dxa" w:w="37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Helvetica Neue" w:cs="Helvetica Neue" w:eastAsia="Helvetica Neue" w:hAnsi="Helvetica Neue"/>
                <w:color w:val="FFFFFF"/>
                <w:sz w:val="13"/>
                <w:szCs w:val="13"/>
              </w:rPr>
              <w:t xml:space="preserve">1</w:t>
            </w:r>
          </w:p>
        </w:tc>
        <w:tc>
          <w:tcPr>
            <w:tcW w:type="dxa" w:w="37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60"/>
              <w:left w:type="dxa" w:w="0"/>
              <w:bottom w:type="dxa" w:w="60"/>
              <w:right w:type="dxa" w:w="260"/>
            </w:tcMar>
            <w:vAlign w:val="center"/>
          </w:tcPr>
          <w:p>
            <w:pPr>
              <w:jc w:val="right"/>
            </w:pPr>
            <w:r>
              <w:rPr>
                <w:rFonts w:ascii="Helvetica Neue" w:cs="Helvetica Neue" w:eastAsia="Helvetica Neue" w:hAnsi="Helvetica Neue"/>
                <w:color w:val="FFFFFF"/>
                <w:sz w:val="13"/>
                <w:szCs w:val="13"/>
              </w:rPr>
              <w:t xml:space="preserve">ventures.jhu.edu</w:t>
            </w:r>
          </w:p>
        </w:tc>
      </w:tr>
    </w:tbl>
    <w:sectPr>
      <w:pgSz w:w="12240" w:h="15840" w:orient="portrait"/>
      <w:pgMar w:top="432" w:right="432" w:bottom="432" w:left="43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2026-06-24T00:05:44.198Z</dcterms:created>
  <dcterms:modified xsi:type="dcterms:W3CDTF">2026-06-24T00:05:44.198Z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