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56"/>
          <w:szCs w:val="56"/>
        </w:rPr>
        <w:t xml:space="preserve">REMEMBER FORWARD</w:t>
      </w:r>
    </w:p>
    <w:p>
      <w:pPr>
        <w:spacing w:after="40"/>
        <w:jc w:val="center"/>
      </w:pPr>
      <w:r>
        <w:rPr>
          <w:rFonts w:ascii="Arial" w:cs="Arial" w:eastAsia="Arial" w:hAnsi="Arial"/>
          <w:b/>
          <w:bCs/>
          <w:color w:val="0D7377"/>
          <w:sz w:val="36"/>
          <w:szCs w:val="36"/>
        </w:rPr>
        <w:t xml:space="preserve">IP Strategy &amp; Manufacturing Roadmap</w:t>
      </w:r>
    </w:p>
    <w:p>
      <w:pPr>
        <w:spacing w:after="40"/>
        <w:jc w:val="center"/>
      </w:pPr>
      <w:r>
        <w:rPr>
          <w:rFonts w:ascii="Arial" w:cs="Arial" w:eastAsia="Arial" w:hAnsi="Arial"/>
          <w:b/>
          <w:bCs/>
          <w:color w:val="4A5568"/>
          <w:sz w:val="24"/>
          <w:szCs w:val="24"/>
        </w:rPr>
        <w:t xml:space="preserve">How to protect, manufacture, and distribute The Patient Message at maximum scale</w:t>
      </w:r>
    </w:p>
    <w:p>
      <w:pPr>
        <w:spacing w:before="0" w:after="60"/>
      </w:pPr>
    </w:p>
    <w:p>
      <w:pPr>
        <w:pBdr>
          <w:left w:val="single" w:color="1B3A5C" w:sz="12" w:space="8"/>
        </w:pBdr>
        <w:shd w:fill="D6E4F0" w:val="clear"/>
        <w:spacing w:before="100" w:after="100"/>
        <w:ind w:left="360"/>
      </w:pPr>
      <w:r>
        <w:rPr>
          <w:rFonts w:ascii="Arial" w:cs="Arial" w:eastAsia="Arial" w:hAnsi="Arial"/>
          <w:i/>
          <w:iCs/>
          <w:color w:val="3A3A3A"/>
          <w:sz w:val="21"/>
          <w:szCs w:val="21"/>
        </w:rPr>
        <w:t xml:space="preserve">This document covers intellectual property protection, manufacturing pathways, distribution strategy, and the open-source philosophy underpinning the entire project.</w:t>
      </w:r>
    </w:p>
    <w:p>
      <w:r>
        <w:br w:type="page"/>
      </w:r>
    </w:p>
    <w:p>
      <w:pPr>
        <w:pStyle w:val="Heading1"/>
        <w:pBdr>
          <w:bottom w:val="single" w:color="1B3A5C" w:sz="8" w:space="4"/>
        </w:pBdr>
        <w:spacing w:before="400" w:after="120"/>
      </w:pPr>
      <w:r>
        <w:rPr>
          <w:rFonts w:ascii="Arial" w:cs="Arial" w:eastAsia="Arial" w:hAnsi="Arial"/>
          <w:b/>
          <w:bCs/>
          <w:color w:val="1B3A5C"/>
          <w:sz w:val="36"/>
          <w:szCs w:val="36"/>
        </w:rPr>
        <w:t xml:space="preserve">Intellectual Property Strategy</w:t>
      </w:r>
    </w:p>
    <w:p>
      <w:pPr>
        <w:pStyle w:val="Heading2"/>
        <w:spacing w:before="280" w:after="80"/>
      </w:pPr>
      <w:r>
        <w:rPr>
          <w:rFonts w:ascii="Arial" w:cs="Arial" w:eastAsia="Arial" w:hAnsi="Arial"/>
          <w:b/>
          <w:bCs/>
          <w:color w:val="0D7377"/>
          <w:sz w:val="28"/>
          <w:szCs w:val="28"/>
        </w:rPr>
        <w:t xml:space="preserve">The Core Philosophy</w:t>
      </w:r>
    </w:p>
    <w:p>
      <w:pPr>
        <w:spacing w:before="60" w:after="100"/>
      </w:pPr>
      <w:r>
        <w:rPr>
          <w:rFonts w:ascii="Arial" w:cs="Arial" w:eastAsia="Arial" w:hAnsi="Arial"/>
          <w:color w:val="1C1C1C"/>
          <w:sz w:val="22"/>
          <w:szCs w:val="22"/>
        </w:rPr>
        <w:t xml:space="preserve">Remember Forward uses open-source licensing as its primary IP strategy. The goal is not exclusivity but permanence — making it impossible for any entity to suppress, monopolize, or destroy the project's materials.</w:t>
      </w:r>
    </w:p>
    <w:p>
      <w:pPr>
        <w:spacing w:before="0" w:after="40"/>
      </w:pPr>
    </w:p>
    <w:p>
      <w:pPr>
        <w:spacing w:before="60" w:after="100"/>
      </w:pPr>
      <w:r>
        <w:rPr>
          <w:rFonts w:ascii="Arial" w:cs="Arial" w:eastAsia="Arial" w:hAnsi="Arial"/>
          <w:color w:val="1C1C1C"/>
          <w:sz w:val="22"/>
          <w:szCs w:val="22"/>
        </w:rPr>
        <w:t xml:space="preserve">Every design file is released under CC BY-SA 4.0. This means anyone can copy, modify, translate, and distribute the materials for any purpose including commercial use, provided they credit the source and release derivatives under the same license. The knowledge cannot be locked away.</w:t>
      </w:r>
    </w:p>
    <w:p>
      <w:pPr>
        <w:spacing w:before="0" w:after="60"/>
      </w:pPr>
    </w:p>
    <w:p>
      <w:pPr>
        <w:pStyle w:val="Heading2"/>
        <w:spacing w:before="280" w:after="80"/>
      </w:pPr>
      <w:r>
        <w:rPr>
          <w:rFonts w:ascii="Arial" w:cs="Arial" w:eastAsia="Arial" w:hAnsi="Arial"/>
          <w:b/>
          <w:bCs/>
          <w:color w:val="0D7377"/>
          <w:sz w:val="28"/>
          <w:szCs w:val="28"/>
        </w:rPr>
        <w:t xml:space="preserve">Entity Structure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Remember Forward LLC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For-profit LLC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Books, YouTube, website, catalog, licensing, commercial activities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Remember Forward Foundation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501(c)(3) — future</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Public mission: free distribution, grants, educational outreach, language plate community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Patient Message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IP brand name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The intellectual property contents of each capsule — the plate designs, language series, knowledge tiers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The Inner Ark</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Book series title</w:t>
            </w:r>
          </w:p>
        </w:tc>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Personal and philosophical companion books — separate from the capsule project brand</w:t>
            </w:r>
          </w:p>
        </w:tc>
      </w:tr>
    </w:tbl>
    <w:p>
      <w:pPr>
        <w:spacing w:before="0" w:after="60"/>
      </w:pPr>
    </w:p>
    <w:p>
      <w:pPr>
        <w:pStyle w:val="Heading2"/>
        <w:spacing w:before="280" w:after="80"/>
      </w:pPr>
      <w:r>
        <w:rPr>
          <w:rFonts w:ascii="Arial" w:cs="Arial" w:eastAsia="Arial" w:hAnsi="Arial"/>
          <w:b/>
          <w:bCs/>
          <w:color w:val="0D7377"/>
          <w:sz w:val="28"/>
          <w:szCs w:val="28"/>
        </w:rPr>
        <w:t xml:space="preserve">IP Protection Layers</w:t>
      </w:r>
    </w:p>
    <w:p>
      <w:pPr>
        <w:spacing w:before="60" w:after="100"/>
      </w:pPr>
      <w:r>
        <w:rPr>
          <w:rFonts w:ascii="Arial" w:cs="Arial" w:eastAsia="Arial" w:hAnsi="Arial"/>
          <w:color w:val="1C1C1C"/>
          <w:sz w:val="22"/>
          <w:szCs w:val="22"/>
        </w:rPr>
        <w:t xml:space="preserve">Three independent layers of protection, each doing a different job:</w:t>
      </w:r>
    </w:p>
    <w:p>
      <w:pPr>
        <w:spacing w:before="0" w:after="40"/>
      </w:pPr>
    </w:p>
    <w:p>
      <w:pPr>
        <w:pStyle w:val="ListParagraph"/>
        <w:numPr>
          <w:ilvl w:val="0"/>
          <w:numId w:val="2"/>
        </w:numPr>
        <w:spacing w:before="40" w:after="40"/>
      </w:pPr>
      <w:r>
        <w:rPr>
          <w:rFonts w:ascii="Arial" w:cs="Arial" w:eastAsia="Arial" w:hAnsi="Arial"/>
          <w:b/>
          <w:bCs/>
          <w:color w:val="1C1C1C"/>
          <w:sz w:val="22"/>
          <w:szCs w:val="22"/>
        </w:rPr>
        <w:t xml:space="preserve">LAYER 1: </w:t>
      </w:r>
      <w:r>
        <w:rPr>
          <w:rFonts w:ascii="Arial" w:cs="Arial" w:eastAsia="Arial" w:hAnsi="Arial"/>
          <w:color w:val="1C1C1C"/>
          <w:sz w:val="22"/>
          <w:szCs w:val="22"/>
        </w:rPr>
        <w:t xml:space="preserve">CC BY-SA 4.0 License — prevents anyone from claiming exclusive rights over the open materials. The strongest protection for open-source work.</w:t>
      </w:r>
    </w:p>
    <w:p>
      <w:pPr>
        <w:pStyle w:val="ListParagraph"/>
        <w:numPr>
          <w:ilvl w:val="0"/>
          <w:numId w:val="2"/>
        </w:numPr>
        <w:spacing w:before="40" w:after="40"/>
      </w:pPr>
      <w:r>
        <w:rPr>
          <w:rFonts w:ascii="Arial" w:cs="Arial" w:eastAsia="Arial" w:hAnsi="Arial"/>
          <w:b/>
          <w:bCs/>
          <w:color w:val="1C1C1C"/>
          <w:sz w:val="22"/>
          <w:szCs w:val="22"/>
        </w:rPr>
        <w:t xml:space="preserve">LAYER 2: </w:t>
      </w:r>
      <w:r>
        <w:rPr>
          <w:rFonts w:ascii="Arial" w:cs="Arial" w:eastAsia="Arial" w:hAnsi="Arial"/>
          <w:color w:val="1C1C1C"/>
          <w:sz w:val="22"/>
          <w:szCs w:val="22"/>
        </w:rPr>
        <w:t xml:space="preserve">Prior art via archive.org + GitHub — timestamped public disclosure prevents patent claims. Every file uploaded creates an independent prior art record.</w:t>
      </w:r>
    </w:p>
    <w:p>
      <w:pPr>
        <w:pStyle w:val="ListParagraph"/>
        <w:numPr>
          <w:ilvl w:val="0"/>
          <w:numId w:val="2"/>
        </w:numPr>
        <w:spacing w:before="40" w:after="40"/>
      </w:pPr>
      <w:r>
        <w:rPr>
          <w:rFonts w:ascii="Arial" w:cs="Arial" w:eastAsia="Arial" w:hAnsi="Arial"/>
          <w:b/>
          <w:bCs/>
          <w:color w:val="1C1C1C"/>
          <w:sz w:val="22"/>
          <w:szCs w:val="22"/>
        </w:rPr>
        <w:t xml:space="preserve">LAYER 3: </w:t>
      </w:r>
      <w:r>
        <w:rPr>
          <w:rFonts w:ascii="Arial" w:cs="Arial" w:eastAsia="Arial" w:hAnsi="Arial"/>
          <w:color w:val="1C1C1C"/>
          <w:sz w:val="22"/>
          <w:szCs w:val="22"/>
        </w:rPr>
        <w:t xml:space="preserve">US Copyright Registration — for commercial materials (books, original plate artwork). Enables statutory damages and attorney's fees recovery if infringement occurs. File at copyright.gov, $45–65 per collection.</w:t>
      </w:r>
    </w:p>
    <w:p>
      <w:pPr>
        <w:spacing w:before="0" w:after="60"/>
      </w:pPr>
    </w:p>
    <w:p>
      <w:pPr>
        <w:pStyle w:val="Heading2"/>
        <w:spacing w:before="280" w:after="80"/>
      </w:pPr>
      <w:r>
        <w:rPr>
          <w:rFonts w:ascii="Arial" w:cs="Arial" w:eastAsia="Arial" w:hAnsi="Arial"/>
          <w:b/>
          <w:bCs/>
          <w:color w:val="0D7377"/>
          <w:sz w:val="28"/>
          <w:szCs w:val="28"/>
        </w:rPr>
        <w:t xml:space="preserve">Trademark Status</w:t>
      </w:r>
    </w:p>
    <w:p>
      <w:pPr>
        <w:pStyle w:val="ListParagraph"/>
        <w:numPr>
          <w:ilvl w:val="0"/>
          <w:numId w:val="2"/>
        </w:numPr>
        <w:spacing w:before="40" w:after="40"/>
      </w:pPr>
      <w:r>
        <w:rPr>
          <w:rFonts w:ascii="Arial" w:cs="Arial" w:eastAsia="Arial" w:hAnsi="Arial"/>
          <w:color w:val="1C1C1C"/>
          <w:sz w:val="22"/>
          <w:szCs w:val="22"/>
        </w:rPr>
        <w:t xml:space="preserve">Remember Forward — USPTO search clear. File in Classes 41 (Education) and 16 (Printed Materials) as Intent to Use after LLC rename completes.</w:t>
      </w:r>
    </w:p>
    <w:p>
      <w:pPr>
        <w:pStyle w:val="ListParagraph"/>
        <w:numPr>
          <w:ilvl w:val="0"/>
          <w:numId w:val="2"/>
        </w:numPr>
        <w:spacing w:before="40" w:after="40"/>
      </w:pPr>
      <w:r>
        <w:rPr>
          <w:rFonts w:ascii="Arial" w:cs="Arial" w:eastAsia="Arial" w:hAnsi="Arial"/>
          <w:color w:val="1C1C1C"/>
          <w:sz w:val="22"/>
          <w:szCs w:val="22"/>
        </w:rPr>
        <w:t xml:space="preserve">The Patient Message — USPTO search clear. File separately in same classes.</w:t>
      </w:r>
    </w:p>
    <w:p>
      <w:pPr>
        <w:pStyle w:val="ListParagraph"/>
        <w:numPr>
          <w:ilvl w:val="0"/>
          <w:numId w:val="2"/>
        </w:numPr>
        <w:spacing w:before="40" w:after="40"/>
      </w:pPr>
      <w:r>
        <w:rPr>
          <w:rFonts w:ascii="Arial" w:cs="Arial" w:eastAsia="Arial" w:hAnsi="Arial"/>
          <w:color w:val="1C1C1C"/>
          <w:sz w:val="22"/>
          <w:szCs w:val="22"/>
        </w:rPr>
        <w:t xml:space="preserve">Filing basis: Intent to Use (ITU) — correct basis as commercial use has not yet commenced.</w:t>
      </w:r>
    </w:p>
    <w:p>
      <w:pPr>
        <w:pStyle w:val="ListParagraph"/>
        <w:numPr>
          <w:ilvl w:val="0"/>
          <w:numId w:val="2"/>
        </w:numPr>
        <w:spacing w:before="40" w:after="40"/>
      </w:pPr>
      <w:r>
        <w:rPr>
          <w:rFonts w:ascii="Arial" w:cs="Arial" w:eastAsia="Arial" w:hAnsi="Arial"/>
          <w:color w:val="1C1C1C"/>
          <w:sz w:val="22"/>
          <w:szCs w:val="22"/>
        </w:rPr>
        <w:t xml:space="preserve">Cost: $250 per class via TEAS Plus — $500 total for both classes per mark.</w:t>
      </w:r>
    </w:p>
    <w:p>
      <w:pPr>
        <w:pStyle w:val="ListParagraph"/>
        <w:numPr>
          <w:ilvl w:val="0"/>
          <w:numId w:val="2"/>
        </w:numPr>
        <w:spacing w:before="40" w:after="40"/>
      </w:pPr>
      <w:r>
        <w:rPr>
          <w:rFonts w:ascii="Arial" w:cs="Arial" w:eastAsia="Arial" w:hAnsi="Arial"/>
          <w:color w:val="1C1C1C"/>
          <w:sz w:val="22"/>
          <w:szCs w:val="22"/>
        </w:rPr>
        <w:t xml:space="preserve">Priority date established at filing, not at registration. File as soon as LLC rename is confirmed.</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Manufacturing Pathways</w:t>
      </w:r>
    </w:p>
    <w:p>
      <w:pPr>
        <w:pStyle w:val="Heading2"/>
        <w:spacing w:before="280" w:after="80"/>
      </w:pPr>
      <w:r>
        <w:rPr>
          <w:rFonts w:ascii="Arial" w:cs="Arial" w:eastAsia="Arial" w:hAnsi="Arial"/>
          <w:b/>
          <w:bCs/>
          <w:color w:val="0D7377"/>
          <w:sz w:val="28"/>
          <w:szCs w:val="28"/>
        </w:rPr>
        <w:t xml:space="preserve">Nickel Plate Manufacturing</w:t>
      </w:r>
    </w:p>
    <w:p>
      <w:pPr>
        <w:spacing w:before="60" w:after="100"/>
      </w:pPr>
      <w:r>
        <w:rPr>
          <w:rFonts w:ascii="Arial" w:cs="Arial" w:eastAsia="Arial" w:hAnsi="Arial"/>
          <w:color w:val="1C1C1C"/>
          <w:sz w:val="22"/>
          <w:szCs w:val="22"/>
        </w:rPr>
        <w:t xml:space="preserve">The SVG files are sent directly to a laser engraving service specifying nickel or stainless steel plate, 4×6 inches, laser engrave at full resolution. No conversion required — the SVG files are already engraver-ready.</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 Approach</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Cost per Plate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1–10 plates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Local laser engraving service or online (Ponoko, SendCutSend, Big Blue Saw)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$15–50</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10–100 plates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Online service with bulk discount</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$10–25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100+ plates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Direct relationship with metal engraving shop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$5–15</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1,000+ plates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Commercial engraving manufacturer, negotiate per-unit pricing</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$3–10</w:t>
            </w:r>
          </w:p>
        </w:tc>
      </w:tr>
    </w:tbl>
    <w:p>
      <w:pPr>
        <w:spacing w:before="0" w:after="60"/>
      </w:pPr>
    </w:p>
    <w:p>
      <w:pPr>
        <w:pStyle w:val="Heading2"/>
        <w:spacing w:before="280" w:after="80"/>
      </w:pPr>
      <w:r>
        <w:rPr>
          <w:rFonts w:ascii="Arial" w:cs="Arial" w:eastAsia="Arial" w:hAnsi="Arial"/>
          <w:b/>
          <w:bCs/>
          <w:color w:val="0D7377"/>
          <w:sz w:val="28"/>
          <w:szCs w:val="28"/>
        </w:rPr>
        <w:t xml:space="preserve">Audio Disc Manufacturing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1600"/>
        <w:gridCol w:w="2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Fidelity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per Disc</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Laser-engraved nickel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Same service as plates, audio grooves cut into nickel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Lo-fi, speech intelligible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$50–$100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Tier 1 &amp; 2 capsules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DMM copper + gold plate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Direct Metal Mastering lathe, then electroplated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Hi-fi, full frequency</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$300–$500</w:t>
            </w:r>
          </w:p>
        </w:tc>
        <w:tc>
          <w:tcPr>
            <w:tcW w:type="dxa" w:w="2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1C1C"/>
                <w:sz w:val="20"/>
                <w:szCs w:val="20"/>
              </w:rPr>
              <w:t xml:space="preserve">Tier 3 &amp; ocean capsules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Lathe-cut polycarbonate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Embossing stylus on polycarbonate disc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Good quality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$12–50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Prototyping only</w:t>
            </w:r>
          </w:p>
        </w:tc>
      </w:tr>
    </w:tbl>
    <w:p>
      <w:pPr>
        <w:spacing w:before="0" w:after="60"/>
      </w:pPr>
    </w:p>
    <w:p>
      <w:pPr>
        <w:pStyle w:val="Heading2"/>
        <w:spacing w:before="280" w:after="80"/>
      </w:pPr>
      <w:r>
        <w:rPr>
          <w:rFonts w:ascii="Arial" w:cs="Arial" w:eastAsia="Arial" w:hAnsi="Arial"/>
          <w:b/>
          <w:bCs/>
          <w:color w:val="0D7377"/>
          <w:sz w:val="28"/>
          <w:szCs w:val="28"/>
        </w:rPr>
        <w:t xml:space="preserve">Container Manufacturing</w:t>
      </w:r>
    </w:p>
    <w:p>
      <w:pPr>
        <w:spacing w:before="60" w:after="100"/>
      </w:pPr>
      <w:r>
        <w:rPr>
          <w:rFonts w:ascii="Arial" w:cs="Arial" w:eastAsia="Arial" w:hAnsi="Arial"/>
          <w:color w:val="1C1C1C"/>
          <w:sz w:val="22"/>
          <w:szCs w:val="22"/>
        </w:rPr>
        <w:t xml:space="preserve">All three container designs use commercially available materials available at hardware stores and industrial suppliers worldwide. No specialized manufacturing is required.</w:t>
      </w:r>
    </w:p>
    <w:p>
      <w:pPr>
        <w:spacing w:before="0" w:after="40"/>
      </w:pPr>
    </w:p>
    <w:p>
      <w:pPr>
        <w:pStyle w:val="ListParagraph"/>
        <w:numPr>
          <w:ilvl w:val="0"/>
          <w:numId w:val="2"/>
        </w:numPr>
        <w:spacing w:before="40" w:after="40"/>
      </w:pPr>
      <w:r>
        <w:rPr>
          <w:rFonts w:ascii="Arial" w:cs="Arial" w:eastAsia="Arial" w:hAnsi="Arial"/>
          <w:color w:val="1C1C1C"/>
          <w:sz w:val="22"/>
          <w:szCs w:val="22"/>
        </w:rPr>
        <w:t xml:space="preserve">Tier A PVC: Schedule 80 PVC pipe and fittings from any plumbing supplier. Teflon tape + marine-grade epoxy for sealing.</w:t>
      </w:r>
    </w:p>
    <w:p>
      <w:pPr>
        <w:pStyle w:val="ListParagraph"/>
        <w:numPr>
          <w:ilvl w:val="0"/>
          <w:numId w:val="2"/>
        </w:numPr>
        <w:spacing w:before="40" w:after="40"/>
      </w:pPr>
      <w:r>
        <w:rPr>
          <w:rFonts w:ascii="Arial" w:cs="Arial" w:eastAsia="Arial" w:hAnsi="Arial"/>
          <w:color w:val="1C1C1C"/>
          <w:sz w:val="22"/>
          <w:szCs w:val="22"/>
        </w:rPr>
        <w:t xml:space="preserve">Tier B Titanium: Grade 5 Ti-6Al-4V machined sphere from titanium fabricators. Viton O-rings. Argon fill available at welding supply stores.</w:t>
      </w:r>
    </w:p>
    <w:p>
      <w:pPr>
        <w:pStyle w:val="ListParagraph"/>
        <w:numPr>
          <w:ilvl w:val="0"/>
          <w:numId w:val="2"/>
        </w:numPr>
        <w:spacing w:before="40" w:after="40"/>
      </w:pPr>
      <w:r>
        <w:rPr>
          <w:rFonts w:ascii="Arial" w:cs="Arial" w:eastAsia="Arial" w:hAnsi="Arial"/>
          <w:color w:val="1C1C1C"/>
          <w:sz w:val="22"/>
          <w:szCs w:val="22"/>
        </w:rPr>
        <w:t xml:space="preserve">Tier C Ocean: HDPE hull from marine suppliers. Zinc sacrificial anodes from marine hardware. Titanium pressure vessel custom fabricated.</w:t>
      </w:r>
    </w:p>
    <w:p>
      <w:pPr>
        <w:spacing w:before="0" w:after="60"/>
      </w:pPr>
    </w:p>
    <w:p>
      <w:pPr>
        <w:pStyle w:val="Heading1"/>
        <w:pBdr>
          <w:bottom w:val="single" w:color="1B3A5C" w:sz="8" w:space="4"/>
        </w:pBdr>
        <w:spacing w:before="400" w:after="120"/>
      </w:pPr>
      <w:r>
        <w:rPr>
          <w:rFonts w:ascii="Arial" w:cs="Arial" w:eastAsia="Arial" w:hAnsi="Arial"/>
          <w:b/>
          <w:bCs/>
          <w:color w:val="1B3A5C"/>
          <w:sz w:val="36"/>
          <w:szCs w:val="36"/>
        </w:rPr>
        <w:t xml:space="preserve">Distribution Strategy</w:t>
      </w:r>
    </w:p>
    <w:p>
      <w:pPr>
        <w:pStyle w:val="Heading2"/>
        <w:spacing w:before="280" w:after="80"/>
      </w:pPr>
      <w:r>
        <w:rPr>
          <w:rFonts w:ascii="Arial" w:cs="Arial" w:eastAsia="Arial" w:hAnsi="Arial"/>
          <w:b/>
          <w:bCs/>
          <w:color w:val="0D7377"/>
          <w:sz w:val="28"/>
          <w:szCs w:val="28"/>
        </w:rPr>
        <w:t xml:space="preserve">The Redundancy Principle</w:t>
      </w:r>
    </w:p>
    <w:p>
      <w:pPr>
        <w:spacing w:before="60" w:after="100"/>
      </w:pPr>
      <w:r>
        <w:rPr>
          <w:rFonts w:ascii="Arial" w:cs="Arial" w:eastAsia="Arial" w:hAnsi="Arial"/>
          <w:color w:val="1C1C1C"/>
          <w:sz w:val="22"/>
          <w:szCs w:val="22"/>
        </w:rPr>
        <w:t xml:space="preserve">The project's protection against suppression is not legal or technical — it is numerical. Thousands of capsules distributed across every continent, in every climate, at every elevation, held by individuals with no organizational connection to each other, cannot be collected, suppressed, or destroyed by any single entity.</w:t>
      </w:r>
    </w:p>
    <w:p>
      <w:pPr>
        <w:spacing w:before="0" w:after="40"/>
      </w:pPr>
    </w:p>
    <w:p>
      <w:pPr>
        <w:spacing w:before="60" w:after="100"/>
      </w:pPr>
      <w:r>
        <w:rPr>
          <w:rFonts w:ascii="Arial" w:cs="Arial" w:eastAsia="Arial" w:hAnsi="Arial"/>
          <w:color w:val="1C1C1C"/>
          <w:sz w:val="22"/>
          <w:szCs w:val="22"/>
        </w:rPr>
        <w:t xml:space="preserve">Every additional capsule buried anywhere in the world increases the archive's survival probability. The goal is not a perfect archive in one location. The goal is an imperfect archive in ten thousand locations.</w:t>
      </w:r>
    </w:p>
    <w:p>
      <w:pPr>
        <w:spacing w:before="0" w:after="60"/>
      </w:pPr>
    </w:p>
    <w:p>
      <w:pPr>
        <w:pStyle w:val="Heading2"/>
        <w:spacing w:before="280" w:after="80"/>
      </w:pPr>
      <w:r>
        <w:rPr>
          <w:rFonts w:ascii="Arial" w:cs="Arial" w:eastAsia="Arial" w:hAnsi="Arial"/>
          <w:b/>
          <w:bCs/>
          <w:color w:val="0D7377"/>
          <w:sz w:val="28"/>
          <w:szCs w:val="28"/>
        </w:rPr>
        <w:t xml:space="preserve">Open Source Distribution</w:t>
      </w:r>
    </w:p>
    <w:p>
      <w:pPr>
        <w:pStyle w:val="ListParagraph"/>
        <w:numPr>
          <w:ilvl w:val="0"/>
          <w:numId w:val="2"/>
        </w:numPr>
        <w:spacing w:before="40" w:after="40"/>
      </w:pPr>
      <w:r>
        <w:rPr>
          <w:rFonts w:ascii="Arial" w:cs="Arial" w:eastAsia="Arial" w:hAnsi="Arial"/>
          <w:color w:val="1C1C1C"/>
          <w:sz w:val="22"/>
          <w:szCs w:val="22"/>
        </w:rPr>
        <w:t xml:space="preserve">All SVG plate files: free download at rememberforward.org and GitHub repository</w:t>
      </w:r>
    </w:p>
    <w:p>
      <w:pPr>
        <w:pStyle w:val="ListParagraph"/>
        <w:numPr>
          <w:ilvl w:val="0"/>
          <w:numId w:val="2"/>
        </w:numPr>
        <w:spacing w:before="40" w:after="40"/>
      </w:pPr>
      <w:r>
        <w:rPr>
          <w:rFonts w:ascii="Arial" w:cs="Arial" w:eastAsia="Arial" w:hAnsi="Arial"/>
          <w:color w:val="1C1C1C"/>
          <w:sz w:val="22"/>
          <w:szCs w:val="22"/>
        </w:rPr>
        <w:t xml:space="preserve">All build guides: free download, same locations</w:t>
      </w:r>
    </w:p>
    <w:p>
      <w:pPr>
        <w:pStyle w:val="ListParagraph"/>
        <w:numPr>
          <w:ilvl w:val="0"/>
          <w:numId w:val="2"/>
        </w:numPr>
        <w:spacing w:before="40" w:after="40"/>
      </w:pPr>
      <w:r>
        <w:rPr>
          <w:rFonts w:ascii="Arial" w:cs="Arial" w:eastAsia="Arial" w:hAnsi="Arial"/>
          <w:color w:val="1C1C1C"/>
          <w:sz w:val="22"/>
          <w:szCs w:val="22"/>
        </w:rPr>
        <w:t xml:space="preserve">Community contributions: native speakers submit language plates via GitHub pull request, reviewed by independent native speaker before merge</w:t>
      </w:r>
    </w:p>
    <w:p>
      <w:pPr>
        <w:pStyle w:val="ListParagraph"/>
        <w:numPr>
          <w:ilvl w:val="0"/>
          <w:numId w:val="2"/>
        </w:numPr>
        <w:spacing w:before="40" w:after="40"/>
      </w:pPr>
      <w:r>
        <w:rPr>
          <w:rFonts w:ascii="Arial" w:cs="Arial" w:eastAsia="Arial" w:hAnsi="Arial"/>
          <w:color w:val="1C1C1C"/>
          <w:sz w:val="22"/>
          <w:szCs w:val="22"/>
        </w:rPr>
        <w:t xml:space="preserve">Translation of guides: welcome and encouraged under CC BY-SA 4.0</w:t>
      </w:r>
    </w:p>
    <w:p>
      <w:pPr>
        <w:spacing w:before="0" w:after="60"/>
      </w:pPr>
    </w:p>
    <w:p>
      <w:pPr>
        <w:pStyle w:val="Heading2"/>
        <w:spacing w:before="280" w:after="80"/>
      </w:pPr>
      <w:r>
        <w:rPr>
          <w:rFonts w:ascii="Arial" w:cs="Arial" w:eastAsia="Arial" w:hAnsi="Arial"/>
          <w:b/>
          <w:bCs/>
          <w:color w:val="0D7377"/>
          <w:sz w:val="28"/>
          <w:szCs w:val="28"/>
        </w:rPr>
        <w:t xml:space="preserve">Commercial Distribution</w:t>
      </w:r>
    </w:p>
    <w:p>
      <w:pPr>
        <w:pStyle w:val="ListParagraph"/>
        <w:numPr>
          <w:ilvl w:val="0"/>
          <w:numId w:val="2"/>
        </w:numPr>
        <w:spacing w:before="40" w:after="40"/>
      </w:pPr>
      <w:r>
        <w:rPr>
          <w:rFonts w:ascii="Arial" w:cs="Arial" w:eastAsia="Arial" w:hAnsi="Arial"/>
          <w:color w:val="1C1C1C"/>
          <w:sz w:val="22"/>
          <w:szCs w:val="22"/>
        </w:rPr>
        <w:t xml:space="preserve">Manufactured plate sets: sold through rememberforward.org at cost plus modest margin</w:t>
      </w:r>
    </w:p>
    <w:p>
      <w:pPr>
        <w:pStyle w:val="ListParagraph"/>
        <w:numPr>
          <w:ilvl w:val="0"/>
          <w:numId w:val="2"/>
        </w:numPr>
        <w:spacing w:before="40" w:after="40"/>
      </w:pPr>
      <w:r>
        <w:rPr>
          <w:rFonts w:ascii="Arial" w:cs="Arial" w:eastAsia="Arial" w:hAnsi="Arial"/>
          <w:color w:val="1C1C1C"/>
          <w:sz w:val="22"/>
          <w:szCs w:val="22"/>
        </w:rPr>
        <w:t xml:space="preserve">Pre-assembled capsule kits: sold through website for each tier</w:t>
      </w:r>
    </w:p>
    <w:p>
      <w:pPr>
        <w:pStyle w:val="ListParagraph"/>
        <w:numPr>
          <w:ilvl w:val="0"/>
          <w:numId w:val="2"/>
        </w:numPr>
        <w:spacing w:before="40" w:after="40"/>
      </w:pPr>
      <w:r>
        <w:rPr>
          <w:rFonts w:ascii="Arial" w:cs="Arial" w:eastAsia="Arial" w:hAnsi="Arial"/>
          <w:color w:val="1C1C1C"/>
          <w:sz w:val="22"/>
          <w:szCs w:val="22"/>
        </w:rPr>
        <w:t xml:space="preserve">Books: Amazon KDP + IngramSpark, full royalty retained by LLC</w:t>
      </w:r>
    </w:p>
    <w:p>
      <w:pPr>
        <w:pStyle w:val="ListParagraph"/>
        <w:numPr>
          <w:ilvl w:val="0"/>
          <w:numId w:val="2"/>
        </w:numPr>
        <w:spacing w:before="40" w:after="40"/>
      </w:pPr>
      <w:r>
        <w:rPr>
          <w:rFonts w:ascii="Arial" w:cs="Arial" w:eastAsia="Arial" w:hAnsi="Arial"/>
          <w:color w:val="1C1C1C"/>
          <w:sz w:val="22"/>
          <w:szCs w:val="22"/>
        </w:rPr>
        <w:t xml:space="preserve">YouTube: educational content driving awareness and download traffic</w:t>
      </w:r>
    </w:p>
    <w:p>
      <w:pPr>
        <w:spacing w:before="0" w:after="60"/>
      </w:pPr>
    </w:p>
    <w:p>
      <w:pPr>
        <w:pBdr>
          <w:bottom w:val="single" w:color="1B3A5C" w:sz="4" w:space="2"/>
        </w:pBdr>
        <w:spacing w:before="80" w:after="80"/>
      </w:pPr>
    </w:p>
    <w:p>
      <w:pPr>
        <w:spacing w:before="0" w:after="60"/>
      </w:pPr>
    </w:p>
    <w:p>
      <w:pPr>
        <w:spacing w:before="80" w:after="40"/>
        <w:jc w:val="center"/>
      </w:pPr>
      <w:r>
        <w:rPr>
          <w:rFonts w:ascii="Arial" w:cs="Arial" w:eastAsia="Arial" w:hAnsi="Arial"/>
          <w:b/>
          <w:bCs/>
          <w:color w:val="1B3A5C"/>
          <w:sz w:val="26"/>
          <w:szCs w:val="26"/>
        </w:rPr>
        <w:t xml:space="preserve">Remember Forward — The Patient Message</w:t>
      </w:r>
    </w:p>
    <w:p>
      <w:pPr>
        <w:spacing w:after="40"/>
        <w:jc w:val="center"/>
      </w:pPr>
      <w:r>
        <w:rPr>
          <w:rFonts w:ascii="Arial" w:cs="Arial" w:eastAsia="Arial" w:hAnsi="Arial"/>
          <w:i/>
          <w:iCs/>
          <w:color w:val="4A5568"/>
          <w:sz w:val="22"/>
          <w:szCs w:val="22"/>
        </w:rPr>
        <w:t xml:space="preserve">Buy it. Build it. Bury it. For someone you will never meet.</w:t>
      </w:r>
    </w:p>
    <w:p>
      <w:pPr>
        <w:spacing w:after="0"/>
        <w:jc w:val="center"/>
      </w:pPr>
      <w:r>
        <w:rPr>
          <w:rFonts w:ascii="Arial" w:cs="Arial" w:eastAsia="Arial" w:hAnsi="Arial"/>
          <w:b/>
          <w:bCs/>
          <w:color w:val="0D7377"/>
          <w:sz w:val="20"/>
          <w:szCs w:val="20"/>
        </w:rPr>
        <w:t xml:space="preserve">CC BY-SA 4.0 — All materials free to use, share, and adapt.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jc w:val="center"/>
    </w:pPr>
    <w:r>
      <w:rPr>
        <w:rFonts w:ascii="Arial" w:cs="Arial" w:eastAsia="Arial" w:hAnsi="Arial"/>
        <w:i/>
        <w:iCs/>
        <w:color w:val="6C6C6C"/>
        <w:sz w:val="18"/>
        <w:szCs w:val="18"/>
      </w:rPr>
      <w:t xml:space="preserve">Buy it. Build it. Bury it. For someone you will never meet.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b/>
        <w:bCs/>
        <w:color w:val="1B3A5C"/>
        <w:sz w:val="18"/>
        <w:szCs w:val="18"/>
      </w:rPr>
      <w:t xml:space="preserve">REMEMBER FORWARD — THE PATIENT MESSAGE</w:t>
    </w:r>
    <w:r>
      <w:rPr>
        <w:rFonts w:ascii="Arial" w:cs="Arial" w:eastAsia="Arial" w:hAnsi="Arial"/>
        <w:color w:val="6C6C6C"/>
        <w:sz w:val="18"/>
        <w:szCs w:val="18"/>
      </w:rPr>
      <w:t xml:space="preserve">   —   undefined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60"/>
      <w:outlineLvl w:val="2"/>
    </w:pPr>
    <w:rPr>
      <w:rFonts w:ascii="Arial" w:cs="Arial" w:eastAsia="Arial" w:hAnsi="Arial"/>
      <w:b/>
      <w:bCs/>
      <w:color w:val="C47A1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2026-04-04T00:26:14.705Z</dcterms:created>
  <dcterms:modified xsi:type="dcterms:W3CDTF">2026-04-04T00:26:14.705Z</dcterms:modified>
</cp:coreProperties>
</file>

<file path=docProps/custom.xml><?xml version="1.0" encoding="utf-8"?>
<Properties xmlns="http://schemas.openxmlformats.org/officeDocument/2006/custom-properties" xmlns:vt="http://schemas.openxmlformats.org/officeDocument/2006/docPropsVTypes"/>
</file>