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1B3A5C"/>
          <w:sz w:val="56"/>
          <w:szCs w:val="56"/>
        </w:rPr>
        <w:t xml:space="preserve">REMEMBER FORWARD</w:t>
      </w:r>
    </w:p>
    <w:p>
      <w:pPr>
        <w:spacing w:after="40"/>
        <w:jc w:val="center"/>
      </w:pPr>
      <w:r>
        <w:rPr>
          <w:rFonts w:ascii="Arial" w:cs="Arial" w:eastAsia="Arial" w:hAnsi="Arial"/>
          <w:b/>
          <w:bCs/>
          <w:color w:val="0D7377"/>
          <w:sz w:val="36"/>
          <w:szCs w:val="36"/>
        </w:rPr>
        <w:t xml:space="preserve">OCEAN SURVIVAL TIME CAPSULE</w:t>
      </w:r>
    </w:p>
    <w:p>
      <w:pPr>
        <w:spacing w:after="40"/>
        <w:jc w:val="center"/>
      </w:pPr>
      <w:r>
        <w:rPr>
          <w:rFonts w:ascii="Arial" w:cs="Arial" w:eastAsia="Arial" w:hAnsi="Arial"/>
          <w:b/>
          <w:bCs/>
          <w:color w:val="4A5568"/>
          <w:sz w:val="24"/>
          <w:szCs w:val="24"/>
        </w:rPr>
        <w:t>Designed for 2,000 years at sea. Buoyant and pressure-rated. Self-righting is NOT verified — see below.</w:t>
      </w:r>
    </w:p>
    <w:p>
      <w:pPr>
        <w:spacing w:before="0" w:after="60"/>
      </w:pPr>
    </w:p>
    <w:p>
      <w:pPr>
        <w:shd w:fill="1B3A5C" w:val="clear"/>
        <w:spacing w:before="80" w:after="80"/>
        <w:jc w:val="center"/>
      </w:pPr>
      <w:r>
        <w:rPr>
          <w:rFonts w:ascii="Arial" w:cs="Arial" w:eastAsia="Arial" w:hAnsi="Arial"/>
          <w:b/>
          <w:bCs/>
          <w:color w:val="FFFFFF"/>
          <w:sz w:val="24"/>
          <w:szCs w:val="24"/>
        </w:rPr>
        <w:t xml:space="preserve">HDPE HULL · ZINC ANODES · Ti PRESSURE VESSEL · $400–$900</w:t>
      </w:r>
    </w:p>
    <w:p>
      <w:pPr>
        <w:spacing w:before="0" w:after="60"/>
      </w:pPr>
    </w:p>
    <w:p>
      <w:pPr>
        <w:pStyle w:val="Heading1"/>
        <w:pBdr>
          <w:bottom w:val="single" w:color="1B3A5C" w:sz="8" w:space="4"/>
        </w:pBdr>
        <w:spacing w:before="400" w:after="120"/>
      </w:pPr>
      <w:r>
        <w:rPr>
          <w:rFonts w:ascii="Arial" w:cs="Arial" w:eastAsia="Arial" w:hAnsi="Arial"/>
          <w:b/>
          <w:bCs/>
          <w:color w:val="1B3A5C"/>
          <w:sz w:val="36"/>
          <w:szCs w:val="36"/>
        </w:rPr>
        <w:t xml:space="preserve">Why an Ocean Capsule?</w:t>
      </w:r>
    </w:p>
    <w:p>
      <w:pPr>
        <w:spacing w:before="60" w:after="100"/>
      </w:pPr>
      <w:r>
        <w:rPr>
          <w:rFonts w:ascii="Arial" w:cs="Arial" w:eastAsia="Arial" w:hAnsi="Arial"/>
          <w:color w:val="1C1C1C"/>
          <w:sz w:val="22"/>
          <w:szCs w:val="22"/>
        </w:rPr>
        <w:t xml:space="preserve">Land-based capsules face threats from excavation, construction, soil chemistry, and human activity. Ocean floor capsules at 200 to 600 meter depth face almost none of these threats. Below wave action, above the worst pressure depths, in stable cold water, ocean capsules can survive largely undisturbed for millennia.</w:t>
      </w:r>
    </w:p>
    <w:p>
      <w:pPr>
        <w:spacing w:before="0" w:after="40"/>
      </w:pPr>
    </w:p>
    <w:p>
      <w:pPr>
        <w:spacing w:before="60" w:after="100"/>
      </w:pPr>
      <w:r>
        <w:rPr>
          <w:rFonts w:ascii="Arial" w:cs="Arial" w:eastAsia="Arial" w:hAnsi="Arial"/>
          <w:color w:val="1C1C1C"/>
          <w:sz w:val="22"/>
          <w:szCs w:val="22"/>
        </w:rPr>
        <w:t xml:space="preserve">The ocean capsule is unreachable by most surface activity, untraceable without sophisticated equipment, and protected by the sheer scale of the ocean floor. No organization can collect or suppress thousands of ocean capsules distributed across international waters.</w:t>
      </w:r>
    </w:p>
    <w:p>
      <w:pPr>
        <w:spacing w:before="0" w:after="60"/>
      </w:pPr>
    </w:p>
    <w:p>
      <w:pPr>
        <w:pStyle w:val="Heading1"/>
        <w:pBdr>
          <w:bottom w:val="single" w:color="1B3A5C" w:sz="8" w:space="4"/>
        </w:pBdr>
        <w:spacing w:before="400" w:after="120"/>
      </w:pPr>
      <w:r>
        <w:rPr>
          <w:rFonts w:ascii="Arial" w:cs="Arial" w:eastAsia="Arial" w:hAnsi="Arial"/>
          <w:b/>
          <w:bCs/>
          <w:color w:val="1B3A5C"/>
          <w:sz w:val="36"/>
          <w:szCs w:val="36"/>
        </w:rPr>
        <w:t xml:space="preserve">Critical Requirements for Ocean Deployment</w:t>
      </w:r>
    </w:p>
    <w:p>
      <w:pPr>
        <w:pBdr>
          <w:left w:val="single" w:color="C0392B" w:sz="12" w:space="8"/>
        </w:pBdr>
        <w:shd w:fill="FAE0E0" w:val="clear"/>
        <w:spacing w:before="100" w:after="100"/>
        <w:ind w:left="360"/>
      </w:pPr>
      <w:r>
        <w:rPr>
          <w:rFonts w:ascii="Arial" w:cs="Arial" w:eastAsia="Arial" w:hAnsi="Arial"/>
          <w:b/>
          <w:bCs/>
          <w:color w:val="3A3A3A"/>
          <w:sz w:val="21"/>
          <w:szCs w:val="21"/>
        </w:rPr>
        <w:t xml:space="preserve">Titanium plates are the standard for ocean capsules. Titanium is inert in seawater, which is why it is used for ship fittings and submersible hardware, and it needs no plating. The earlier gold-plated nickel requirement belonged to the nickel design and no longer applies. Fired stoneware plates also survive seawater — blue-and-white porcelain from the Belitung and Nanhai wrecks spent a thousand years submerged with its cobalt still vivid — provided the body is vitrified and the plates are cushioned against impact. Audio discs should use DMM copper with gold plating.</w:t>
      </w:r>
    </w:p>
    <w:p>
      <w:pPr>
        <w:spacing w:before="0" w:after="60"/>
      </w:pPr>
    </w:p>
    <w:p>
      <w:pPr>
        <w:pStyle w:val="Heading1"/>
        <w:pBdr>
          <w:bottom w:val="single" w:color="1B3A5C" w:sz="8" w:space="4"/>
        </w:pBdr>
        <w:spacing w:before="400" w:after="120"/>
      </w:pPr>
      <w:r>
        <w:rPr>
          <w:rFonts w:ascii="Arial" w:cs="Arial" w:eastAsia="Arial" w:hAnsi="Arial"/>
          <w:b/>
          <w:bCs/>
          <w:color w:val="1B3A5C"/>
          <w:sz w:val="36"/>
          <w:szCs w:val="36"/>
        </w:rPr>
        <w:t xml:space="preserve">Specifications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0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Specification</w:t>
            </w:r>
          </w:p>
        </w:tc>
        <w:tc>
          <w:tcPr>
            <w:tcW w:type="dxa" w:w="5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Outer hull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HDPE (High-Density Polyethylene)</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Chemical resistance to seawater, buoyancy</w:t>
            </w:r>
          </w:p>
        </w:tc>
      </w:tr>
      <w:tr>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 xml:space="preserve">Sacrificial anodes</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 xml:space="preserve">Zinc alloy, bolted externally</w:t>
            </w:r>
          </w:p>
        </w:tc>
        <w:tc>
          <w:tcPr>
            <w:tcW w:type="dxa" w:w="5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 xml:space="preserve">Cathodic protection — zinc corrodes sacrificially, protecting all metal components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Pressure vessel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Grade 5 titanium, rated to 600 atm (~6,000m depth)</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Protects plates at any ocean depth</w:t>
            </w:r>
          </w:p>
        </w:tc>
      </w:tr>
      <w:tr>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 xml:space="preserve">Ballast</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 xml:space="preserve">Lead keel weight</w:t>
            </w:r>
          </w:p>
        </w:tc>
        <w:tc>
          <w:tcPr>
            <w:tcW w:type="dxa" w:w="5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Self-righting is UNVERIFIED. No buoyancy or centre-of-mass calculation is on record. Do not rely on it.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Plates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Titanium — inert in seawater, no plating needed</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Saltwater corrosion resistance</w:t>
            </w:r>
          </w:p>
        </w:tc>
      </w:tr>
      <w:tr>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 xml:space="preserve">Audio discs</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 xml:space="preserve">DMM copper + gold plating</w:t>
            </w:r>
          </w:p>
        </w:tc>
        <w:tc>
          <w:tcPr>
            <w:tcW w:type="dxa" w:w="5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color w:val="1C1C1C"/>
                <w:sz w:val="20"/>
                <w:szCs w:val="20"/>
              </w:rPr>
              <w:t xml:space="preserve">Saltwater corrosion resistance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Depth rating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600 atm (6,000m)</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C1C1C"/>
                <w:sz w:val="20"/>
                <w:szCs w:val="20"/>
              </w:rPr>
              <w:t xml:space="preserve">Survives any ocean depth on Earth</w:t>
            </w:r>
          </w:p>
        </w:tc>
      </w:tr>
    </w:tbl>
    <w:p>
      <w:pPr>
        <w:spacing w:before="0" w:after="60"/>
      </w:pPr>
    </w:p>
    <w:p>
      <w:pPr>
        <w:pStyle w:val="Heading1"/>
        <w:pBdr>
          <w:bottom w:val="single" w:color="1B3A5C" w:sz="8" w:space="4"/>
        </w:pBdr>
        <w:spacing w:before="400" w:after="120"/>
      </w:pPr>
      <w:r>
        <w:rPr>
          <w:rFonts w:ascii="Arial" w:cs="Arial" w:eastAsia="Arial" w:hAnsi="Arial"/>
          <w:b/>
          <w:bCs/>
          <w:color w:val="1B3A5C"/>
          <w:sz w:val="36"/>
          <w:szCs w:val="36"/>
        </w:rPr>
        <w:t xml:space="preserve">Deployment</w:t>
      </w:r>
    </w:p>
    <w:p>
      <w:pPr>
        <w:spacing w:before="60" w:after="100"/>
      </w:pPr>
      <w:r>
        <w:rPr>
          <w:rFonts w:ascii="Arial" w:cs="Arial" w:eastAsia="Arial" w:hAnsi="Arial"/>
          <w:color w:val="1C1C1C"/>
          <w:sz w:val="22"/>
          <w:szCs w:val="22"/>
        </w:rPr>
        <w:t xml:space="preserve">Deploy in international waters beyond any national jurisdiction, at depths below 200 meters. Mark GPS coordinates in at least three independent records held by unconnected individuals. The capsule should be considered lost on deployment — designed to be found by a future civilization, not recovered by the present one.</w:t>
      </w:r>
    </w:p>
    <w:p>
      <w:pPr>
        <w:spacing w:before="0" w:after="60"/>
      </w:pPr>
    </w:p>
    <w:p>
      <w:pPr>
        <w:pStyle w:val="Heading1"/>
        <w:pBdr>
          <w:bottom w:val="single" w:color="1B3A5C" w:sz="8" w:space="4"/>
        </w:pBdr>
        <w:spacing w:before="400" w:after="120"/>
      </w:pPr>
      <w:r>
        <w:rPr>
          <w:rFonts w:ascii="Arial" w:cs="Arial" w:eastAsia="Arial" w:hAnsi="Arial"/>
          <w:b/>
          <w:bCs/>
          <w:color w:val="1B3A5C"/>
          <w:sz w:val="36"/>
          <w:szCs w:val="36"/>
        </w:rPr>
        <w:t xml:space="preserve">Free Downloads</w:t>
      </w:r>
    </w:p>
    <w:p>
      <w:pPr>
        <w:shd w:fill="0D7377" w:val="clear"/>
        <w:spacing w:before="80" w:after="80"/>
        <w:jc w:val="center"/>
      </w:pPr>
      <w:r>
        <w:rPr>
          <w:rFonts w:ascii="Arial" w:cs="Arial" w:eastAsia="Arial" w:hAnsi="Arial"/>
          <w:b/>
          <w:bCs/>
          <w:color w:val="FFFFFF"/>
          <w:sz w:val="24"/>
          <w:szCs w:val="24"/>
        </w:rPr>
        <w:t xml:space="preserve">rememberforward.org · CC BY-SA 4.0 · No permission needed</w:t>
      </w:r>
    </w:p>
    <w:p>
      <w:pPr>
        <w:spacing w:before="0" w:after="60"/>
      </w:pPr>
    </w:p>
    <w:p>
      <w:pPr>
        <w:pBdr>
          <w:bottom w:val="single" w:color="1B3A5C" w:sz="4" w:space="2"/>
        </w:pBdr>
        <w:spacing w:before="80" w:after="80"/>
      </w:pPr>
    </w:p>
    <w:p>
      <w:pPr>
        <w:spacing w:before="0" w:after="60"/>
      </w:pPr>
    </w:p>
    <w:p>
      <w:pPr>
        <w:spacing w:before="80" w:after="40"/>
        <w:jc w:val="center"/>
      </w:pPr>
      <w:r>
        <w:rPr>
          <w:rFonts w:ascii="Arial" w:cs="Arial" w:eastAsia="Arial" w:hAnsi="Arial"/>
          <w:b/>
          <w:bCs/>
          <w:color w:val="1B3A5C"/>
          <w:sz w:val="26"/>
          <w:szCs w:val="26"/>
        </w:rPr>
        <w:t xml:space="preserve">Remember Forward — The Patient Message</w:t>
      </w:r>
    </w:p>
    <w:p>
      <w:pPr>
        <w:spacing w:after="40"/>
        <w:jc w:val="center"/>
      </w:pPr>
      <w:r>
        <w:rPr>
          <w:rFonts w:ascii="Arial" w:cs="Arial" w:eastAsia="Arial" w:hAnsi="Arial"/>
          <w:i/>
          <w:iCs/>
          <w:color w:val="4A5568"/>
          <w:sz w:val="22"/>
          <w:szCs w:val="22"/>
        </w:rPr>
        <w:t xml:space="preserve">Buy it. Build it. Bury it. For someone you will never meet.</w:t>
      </w:r>
    </w:p>
    <w:p>
      <w:pPr>
        <w:spacing w:after="0"/>
        <w:jc w:val="center"/>
      </w:pPr>
      <w:r>
        <w:rPr>
          <w:rFonts w:ascii="Arial" w:cs="Arial" w:eastAsia="Arial" w:hAnsi="Arial"/>
          <w:b/>
          <w:bCs/>
          <w:color w:val="0D7377"/>
          <w:sz w:val="20"/>
          <w:szCs w:val="20"/>
        </w:rPr>
        <w:t xml:space="preserve">CC BY-SA 4.0 — All materials free to use, share, and adapt.</w:t>
      </w:r>
    </w:p>
    <w:p>
      <w:r>
        <w:rPr>
          <w:rFonts w:ascii="Arial" w:hAnsi="Arial"/>
          <w:i/>
          <w:sz w:val="18"/>
        </w:rPr>
        <w:t>Corrected 2026-09-01. The errata of 2026-08-20 revised this document's prose but left its specification tables unchanged, so the two contradicted each other. See containers/ERRATA.md and AUDIT_2026-09-01.md.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A5C" w:sz="4" w:space="4"/>
      </w:pBdr>
      <w:jc w:val="center"/>
    </w:pPr>
    <w:r>
      <w:rPr>
        <w:rFonts w:ascii="Arial" w:cs="Arial" w:eastAsia="Arial" w:hAnsi="Arial"/>
        <w:i/>
        <w:iCs/>
        <w:color w:val="6C6C6C"/>
        <w:sz w:val="18"/>
        <w:szCs w:val="18"/>
      </w:rPr>
      <w:t xml:space="preserve">Buy it. Build it. Bury it. For someone you will never meet.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4" w:space="4"/>
      </w:pBdr>
    </w:pPr>
    <w:r>
      <w:rPr>
        <w:rFonts w:ascii="Arial" w:cs="Arial" w:eastAsia="Arial" w:hAnsi="Arial"/>
        <w:b/>
        <w:bCs/>
        <w:color w:val="1B3A5C"/>
        <w:sz w:val="18"/>
        <w:szCs w:val="18"/>
      </w:rPr>
      <w:t xml:space="preserve">REMEMBER FORWARD — THE PATIENT MESSAGE</w:t>
    </w:r>
    <w:r>
      <w:rPr>
        <w:rFonts w:ascii="Arial" w:cs="Arial" w:eastAsia="Arial" w:hAnsi="Arial"/>
        <w:color w:val="6C6C6C"/>
        <w:sz w:val="18"/>
        <w:szCs w:val="18"/>
      </w:rPr>
      <w:t xml:space="preserve">   —   undefined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20"/>
      <w:outlineLvl w:val="0"/>
    </w:pPr>
    <w:rPr>
      <w:rFonts w:ascii="Arial" w:cs="Arial" w:eastAsia="Arial" w:hAnsi="Arial"/>
      <w:b/>
      <w:bCs/>
      <w:color w:val="1B3A5C"/>
      <w:sz w:val="36"/>
      <w:szCs w:val="36"/>
    </w:rPr>
  </w:style>
  <w:style w:type="paragraph" w:styleId="Heading2">
    <w:name w:val="Heading 2"/>
    <w:basedOn w:val="Normal"/>
    <w:next w:val="Normal"/>
    <w:qFormat/>
    <w:pPr>
      <w:spacing w:before="280" w:after="80"/>
      <w:outlineLvl w:val="1"/>
    </w:pPr>
    <w:rPr>
      <w:rFonts w:ascii="Arial" w:cs="Arial" w:eastAsia="Arial" w:hAnsi="Arial"/>
      <w:b/>
      <w:bCs/>
      <w:color w:val="0D7377"/>
      <w:sz w:val="28"/>
      <w:szCs w:val="28"/>
    </w:rPr>
  </w:style>
  <w:style w:type="paragraph" w:styleId="Heading3">
    <w:name w:val="Heading 3"/>
    <w:basedOn w:val="Normal"/>
    <w:next w:val="Normal"/>
    <w:qFormat/>
    <w:pPr>
      <w:spacing w:before="200" w:after="60"/>
      <w:outlineLvl w:val="2"/>
    </w:pPr>
    <w:rPr>
      <w:rFonts w:ascii="Arial" w:cs="Arial" w:eastAsia="Arial" w:hAnsi="Arial"/>
      <w:b/>
      <w:bCs/>
      <w:color w:val="C47A1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2026-04-04T00:31:29.694Z</dcterms:created>
  <dcterms:modified xsi:type="dcterms:W3CDTF">2026-04-04T00:31:29.694Z</dcterms:modified>
</cp:coreProperties>
</file>

<file path=docProps/custom.xml><?xml version="1.0" encoding="utf-8"?>
<Properties xmlns="http://schemas.openxmlformats.org/officeDocument/2006/custom-properties" xmlns:vt="http://schemas.openxmlformats.org/officeDocument/2006/docPropsVTypes"/>
</file>