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480" w:lineRule="auto" w:after="0" w:before="0"/>
        <w:jc w:val="center"/>
      </w:pPr>
      <w:r>
        <w:rPr>
          <w:rFonts w:ascii="Times New Roman" w:hAnsi="Times New Roman" w:eastAsia="Times New Roman"/>
          <w:b/>
          <w:i w:val="0"/>
          <w:sz w:val="24"/>
        </w:rPr>
        <w:t>Credit-Risk Segmentation and Predictive Modeling: Module B Capstone Proposal</w:t>
      </w:r>
    </w:p>
    <w:p>
      <w:pPr>
        <w:widowControl/>
        <w:spacing w:line="480" w:lineRule="auto" w:after="0" w:before="0"/>
        <w:jc w:val="center"/>
      </w:pPr>
      <w:r>
        <w:rPr>
          <w:rFonts w:ascii="Times New Roman" w:hAnsi="Times New Roman" w:eastAsia="Times New Roman"/>
          <w:b w:val="0"/>
          <w:i w:val="0"/>
          <w:sz w:val="24"/>
        </w:rPr>
        <w:t>Calvin Baker | DX699O2 | Summer 2026</w:t>
      </w:r>
    </w:p>
    <w:p>
      <w:pPr>
        <w:pStyle w:val="Heading1"/>
        <w:keepNext/>
        <w:widowControl/>
        <w:spacing w:line="480" w:lineRule="auto" w:after="0" w:before="0"/>
      </w:pPr>
      <w:r>
        <w:rPr>
          <w:rFonts w:ascii="Times New Roman" w:hAnsi="Times New Roman" w:eastAsia="Times New Roman"/>
          <w:b/>
          <w:i w:val="0"/>
          <w:sz w:val="24"/>
        </w:rPr>
        <w:t>1. Problem statement/description</w:t>
      </w:r>
    </w:p>
    <w:p>
      <w:pPr>
        <w:widowControl/>
        <w:spacing w:line="480" w:lineRule="auto" w:after="0" w:before="0"/>
      </w:pPr>
      <w:r>
        <w:rPr>
          <w:rFonts w:ascii="Times New Roman" w:hAnsi="Times New Roman" w:eastAsia="Times New Roman"/>
          <w:b w:val="0"/>
          <w:i w:val="0"/>
          <w:sz w:val="24"/>
        </w:rPr>
        <w:t>Consumer lenders need to identify loans that merit additional review before losses materialize, while avoiding the opposite error of treating creditworthy borrowers as high risk. This project asks whether routinely available application and loan features can rank adverse outcomes well enough to support a transparent, capacity-limited human review process. The business value is earlier monitoring and better allocation of underwriting attention; the public value is a more consistent process with explicit limits on automated decision-making.</w:t>
      </w:r>
    </w:p>
    <w:p>
      <w:pPr>
        <w:widowControl/>
        <w:spacing w:line="480" w:lineRule="auto" w:after="0" w:before="0"/>
      </w:pPr>
      <w:r>
        <w:rPr>
          <w:rFonts w:ascii="Times New Roman" w:hAnsi="Times New Roman" w:eastAsia="Times New Roman"/>
          <w:b w:val="0"/>
          <w:i w:val="0"/>
          <w:sz w:val="24"/>
        </w:rPr>
        <w:t>The analysis compares two distinct populations. The mortgage Loan Default dataset has 148,670 records and a binary Status outcome with a 24.6% overall adverse rate. The Accepted Lending Club file contains 2,260,701 issued-loan records; the modeling sample uses 61,100 evenly spaced rows and defines a bad loan from completed adverse statuses, yielding a 13.0% adverse rate. Because the targets are related but not identical, performance is interpreted within each dataset rather than as a lender-to-lender scorecard.</w:t>
      </w:r>
    </w:p>
    <w:p>
      <w:pPr>
        <w:widowControl/>
        <w:spacing w:line="480" w:lineRule="auto" w:after="0" w:before="0"/>
      </w:pPr>
      <w:r>
        <w:rPr>
          <w:rFonts w:ascii="Times New Roman" w:hAnsi="Times New Roman" w:eastAsia="Times New Roman"/>
          <w:b w:val="0"/>
          <w:i w:val="0"/>
          <w:sz w:val="24"/>
        </w:rPr>
        <w:t>Weeks 1–7 established data quality, skew, class imbalance, and pairwise relationships. Weeks 8–12 added interactions, PCA, logistic baselines, and tuned random forests. The models offer useful ranking but not automatic approval or denial: mortgage missingness is outcome-linked, Lending Club includes only accepted applicants, and neither result is an out-of-time production validation.</w:t>
      </w:r>
    </w:p>
    <w:p>
      <w:r>
        <w:br w:type="page"/>
      </w:r>
    </w:p>
    <w:p>
      <w:pPr>
        <w:pStyle w:val="Heading1"/>
        <w:keepNext/>
        <w:widowControl/>
        <w:spacing w:line="480" w:lineRule="auto" w:after="0" w:before="0"/>
      </w:pPr>
      <w:r>
        <w:rPr>
          <w:rFonts w:ascii="Times New Roman" w:hAnsi="Times New Roman" w:eastAsia="Times New Roman"/>
          <w:b/>
          <w:i w:val="0"/>
          <w:sz w:val="24"/>
        </w:rPr>
        <w:t>2. Exploratory data analysis</w:t>
      </w:r>
    </w:p>
    <w:p>
      <w:pPr>
        <w:pStyle w:val="Heading2"/>
        <w:keepNext/>
        <w:widowControl/>
        <w:spacing w:line="480" w:lineRule="auto" w:after="0" w:before="0"/>
      </w:pPr>
      <w:r>
        <w:rPr>
          <w:rFonts w:ascii="Times New Roman" w:hAnsi="Times New Roman" w:eastAsia="Times New Roman"/>
          <w:b/>
          <w:i/>
          <w:sz w:val="24"/>
        </w:rPr>
        <w:t>a. Multivariate analysis</w:t>
      </w:r>
    </w:p>
    <w:p>
      <w:pPr>
        <w:widowControl/>
        <w:spacing w:line="480" w:lineRule="auto" w:after="0" w:before="0"/>
      </w:pPr>
      <w:r>
        <w:rPr>
          <w:rFonts w:ascii="Times New Roman" w:hAnsi="Times New Roman" w:eastAsia="Times New Roman"/>
          <w:b w:val="0"/>
          <w:i w:val="0"/>
          <w:sz w:val="24"/>
        </w:rPr>
        <w:t>Binned heatmaps expose interactions without imposing a linear trend. Mortgage default is elevated in the 100%+ loan-to-value (LTV) tier across debt-to-income (DTI) bands, although DTI is nonlinear and edge cells are smaller. In Lending Club, bad-loan rates generally rise from grade A through G across purposes; purpose is secondary and sparse cells require caution.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pPr>
              <w:spacing w:before="0" w:after="0"/>
              <w:jc w:val="center"/>
            </w:pPr>
            <w:r/>
            <w:r>
              <w:drawing>
                <wp:inline xmlns:a="http://schemas.openxmlformats.org/drawingml/2006/main" xmlns:pic="http://schemas.openxmlformats.org/drawingml/2006/picture">
                  <wp:extent cx="2816352" cy="1846788"/>
                  <wp:docPr id="1" name="Picture 1"/>
                  <wp:cNvGraphicFramePr>
                    <a:graphicFrameLocks noChangeAspect="1"/>
                  </wp:cNvGraphicFramePr>
                  <a:graphic>
                    <a:graphicData uri="http://schemas.openxmlformats.org/drawingml/2006/picture">
                      <pic:pic>
                        <pic:nvPicPr>
                          <pic:cNvPr id="0" name="figure-004.png"/>
                          <pic:cNvPicPr/>
                        </pic:nvPicPr>
                        <pic:blipFill>
                          <a:blip r:embed="rId10"/>
                          <a:stretch>
                            <a:fillRect/>
                          </a:stretch>
                        </pic:blipFill>
                        <pic:spPr>
                          <a:xfrm>
                            <a:off x="0" y="0"/>
                            <a:ext cx="2816352" cy="1846788"/>
                          </a:xfrm>
                          <a:prstGeom prst="rect"/>
                        </pic:spPr>
                      </pic:pic>
                    </a:graphicData>
                  </a:graphic>
                </wp:inline>
              </w:drawing>
            </w:r>
          </w:p>
          <w:p>
            <w:pPr>
              <w:widowControl/>
              <w:spacing w:line="480" w:lineRule="auto" w:after="0" w:before="0"/>
              <w:jc w:val="center"/>
            </w:pPr>
            <w:r>
              <w:rPr>
                <w:rFonts w:ascii="Times New Roman" w:hAnsi="Times New Roman" w:eastAsia="Times New Roman"/>
                <w:i/>
                <w:sz w:val="24"/>
              </w:rPr>
              <w:t>Figure 1. Mortgage default rate by LTV and DTI tier; cell labels include rates and counts.</w:t>
            </w:r>
          </w:p>
        </w:tc>
        <w:tc>
          <w:tcPr>
            <w:tcW w:type="dxa" w:w="4680"/>
            <w:vAlign w:val="top"/>
          </w:tcPr>
          <w:p>
            <w:pPr>
              <w:spacing w:before="0" w:after="0"/>
              <w:jc w:val="center"/>
            </w:pPr>
            <w:r/>
            <w:r>
              <w:drawing>
                <wp:inline xmlns:a="http://schemas.openxmlformats.org/drawingml/2006/main" xmlns:pic="http://schemas.openxmlformats.org/drawingml/2006/picture">
                  <wp:extent cx="2816352" cy="1917457"/>
                  <wp:docPr id="2" name="Picture 2"/>
                  <wp:cNvGraphicFramePr>
                    <a:graphicFrameLocks noChangeAspect="1"/>
                  </wp:cNvGraphicFramePr>
                  <a:graphic>
                    <a:graphicData uri="http://schemas.openxmlformats.org/drawingml/2006/picture">
                      <pic:pic>
                        <pic:nvPicPr>
                          <pic:cNvPr id="0" name="figure-008.png"/>
                          <pic:cNvPicPr/>
                        </pic:nvPicPr>
                        <pic:blipFill>
                          <a:blip r:embed="rId11"/>
                          <a:stretch>
                            <a:fillRect/>
                          </a:stretch>
                        </pic:blipFill>
                        <pic:spPr>
                          <a:xfrm>
                            <a:off x="0" y="0"/>
                            <a:ext cx="2816352" cy="1917457"/>
                          </a:xfrm>
                          <a:prstGeom prst="rect"/>
                        </pic:spPr>
                      </pic:pic>
                    </a:graphicData>
                  </a:graphic>
                </wp:inline>
              </w:drawing>
            </w:r>
          </w:p>
          <w:p>
            <w:pPr>
              <w:widowControl/>
              <w:spacing w:line="480" w:lineRule="auto" w:after="0" w:before="0"/>
              <w:jc w:val="center"/>
            </w:pPr>
            <w:r>
              <w:rPr>
                <w:rFonts w:ascii="Times New Roman" w:hAnsi="Times New Roman" w:eastAsia="Times New Roman"/>
                <w:i/>
                <w:sz w:val="24"/>
              </w:rPr>
              <w:t>Figure 2. Accepted Lending Club bad-loan rate by grade and purpose.</w:t>
            </w:r>
          </w:p>
        </w:tc>
      </w:tr>
    </w:tbl>
    <w:p>
      <w:r>
        <w:br w:type="page"/>
      </w:r>
    </w:p>
    <w:p>
      <w:pPr>
        <w:pStyle w:val="Heading2"/>
        <w:keepNext/>
        <w:widowControl/>
        <w:spacing w:line="480" w:lineRule="auto" w:after="0" w:before="0"/>
      </w:pPr>
      <w:r>
        <w:rPr>
          <w:rFonts w:ascii="Times New Roman" w:hAnsi="Times New Roman" w:eastAsia="Times New Roman"/>
          <w:b/>
          <w:i/>
          <w:sz w:val="24"/>
        </w:rPr>
        <w:t>Multivariate evidence: redundancy and dimensionality</w:t>
      </w:r>
    </w:p>
    <w:p>
      <w:pPr>
        <w:widowControl/>
        <w:spacing w:line="480" w:lineRule="auto" w:after="0" w:before="0"/>
      </w:pPr>
      <w:r>
        <w:rPr>
          <w:rFonts w:ascii="Times New Roman" w:hAnsi="Times New Roman" w:eastAsia="Times New Roman"/>
          <w:b w:val="0"/>
          <w:i w:val="0"/>
          <w:sz w:val="24"/>
        </w:rPr>
        <w:t>The mortgage bubble plot confirms that loan amount closely tracks property value and that defaults overlap nondefaults, so two variables do not form a clean boundary. PCA reaches 86.3% variance with four mortgage components and 84.1% with five Lending Club components; the first two retain only 52.8% and 46.8%. Logistic ROC AUCs of 0.586 and 0.680 likewise leave room for nonlinear models without guaranteeing improvement.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pPr>
              <w:spacing w:before="0" w:after="0"/>
              <w:jc w:val="center"/>
            </w:pPr>
            <w:r/>
            <w:r>
              <w:drawing>
                <wp:inline xmlns:a="http://schemas.openxmlformats.org/drawingml/2006/main" xmlns:pic="http://schemas.openxmlformats.org/drawingml/2006/picture">
                  <wp:extent cx="2816352" cy="1824358"/>
                  <wp:docPr id="3" name="Picture 3"/>
                  <wp:cNvGraphicFramePr>
                    <a:graphicFrameLocks noChangeAspect="1"/>
                  </wp:cNvGraphicFramePr>
                  <a:graphic>
                    <a:graphicData uri="http://schemas.openxmlformats.org/drawingml/2006/picture">
                      <pic:pic>
                        <pic:nvPicPr>
                          <pic:cNvPr id="0" name="figure-005.png"/>
                          <pic:cNvPicPr/>
                        </pic:nvPicPr>
                        <pic:blipFill>
                          <a:blip r:embed="rId12"/>
                          <a:stretch>
                            <a:fillRect/>
                          </a:stretch>
                        </pic:blipFill>
                        <pic:spPr>
                          <a:xfrm>
                            <a:off x="0" y="0"/>
                            <a:ext cx="2816352" cy="1824358"/>
                          </a:xfrm>
                          <a:prstGeom prst="rect"/>
                        </pic:spPr>
                      </pic:pic>
                    </a:graphicData>
                  </a:graphic>
                </wp:inline>
              </w:drawing>
            </w:r>
          </w:p>
          <w:p>
            <w:pPr>
              <w:widowControl/>
              <w:spacing w:line="480" w:lineRule="auto" w:after="0" w:before="0"/>
              <w:jc w:val="center"/>
            </w:pPr>
            <w:r>
              <w:rPr>
                <w:rFonts w:ascii="Times New Roman" w:hAnsi="Times New Roman" w:eastAsia="Times New Roman"/>
                <w:i/>
                <w:sz w:val="24"/>
              </w:rPr>
              <w:t>Figure 3. Mortgage loan amount versus property value; bubble size is DTI and color is Status.</w:t>
            </w:r>
          </w:p>
        </w:tc>
        <w:tc>
          <w:tcPr>
            <w:tcW w:type="dxa" w:w="4680"/>
            <w:vAlign w:val="top"/>
          </w:tcPr>
          <w:p>
            <w:pPr>
              <w:spacing w:before="0" w:after="0"/>
              <w:jc w:val="center"/>
            </w:pPr>
            <w:r/>
            <w:r>
              <w:drawing>
                <wp:inline xmlns:a="http://schemas.openxmlformats.org/drawingml/2006/main" xmlns:pic="http://schemas.openxmlformats.org/drawingml/2006/picture">
                  <wp:extent cx="2816352" cy="1565770"/>
                  <wp:docPr id="4" name="Picture 4"/>
                  <wp:cNvGraphicFramePr>
                    <a:graphicFrameLocks noChangeAspect="1"/>
                  </wp:cNvGraphicFramePr>
                  <a:graphic>
                    <a:graphicData uri="http://schemas.openxmlformats.org/drawingml/2006/picture">
                      <pic:pic>
                        <pic:nvPicPr>
                          <pic:cNvPr id="0" name="figure-04-pca-comparison.png"/>
                          <pic:cNvPicPr/>
                        </pic:nvPicPr>
                        <pic:blipFill>
                          <a:blip r:embed="rId13"/>
                          <a:stretch>
                            <a:fillRect/>
                          </a:stretch>
                        </pic:blipFill>
                        <pic:spPr>
                          <a:xfrm>
                            <a:off x="0" y="0"/>
                            <a:ext cx="2816352" cy="1565770"/>
                          </a:xfrm>
                          <a:prstGeom prst="rect"/>
                        </pic:spPr>
                      </pic:pic>
                    </a:graphicData>
                  </a:graphic>
                </wp:inline>
              </w:drawing>
            </w:r>
          </w:p>
          <w:p>
            <w:pPr>
              <w:widowControl/>
              <w:spacing w:line="480" w:lineRule="auto" w:after="0" w:before="0"/>
              <w:jc w:val="center"/>
            </w:pPr>
            <w:r>
              <w:rPr>
                <w:rFonts w:ascii="Times New Roman" w:hAnsi="Times New Roman" w:eastAsia="Times New Roman"/>
                <w:i/>
                <w:sz w:val="24"/>
              </w:rPr>
              <w:t>Figure 4. PCA cumulative variance; four mortgage and five Lending components exceed 80%.</w:t>
            </w:r>
          </w:p>
        </w:tc>
      </w:tr>
    </w:tbl>
    <w:p>
      <w:r>
        <w:br w:type="page"/>
      </w:r>
    </w:p>
    <w:p>
      <w:pPr>
        <w:pStyle w:val="Heading2"/>
        <w:keepNext/>
        <w:widowControl/>
        <w:spacing w:line="480" w:lineRule="auto" w:after="0" w:before="0"/>
      </w:pPr>
      <w:r>
        <w:rPr>
          <w:rFonts w:ascii="Times New Roman" w:hAnsi="Times New Roman" w:eastAsia="Times New Roman"/>
          <w:b/>
          <w:i/>
          <w:sz w:val="24"/>
        </w:rPr>
        <w:t>b. Random forest analysis</w:t>
      </w:r>
    </w:p>
    <w:p>
      <w:pPr>
        <w:widowControl/>
        <w:spacing w:line="480" w:lineRule="auto" w:after="0" w:before="0"/>
      </w:pPr>
      <w:r>
        <w:rPr>
          <w:rFonts w:ascii="Times New Roman" w:hAnsi="Times New Roman" w:eastAsia="Times New Roman"/>
          <w:b w:val="0"/>
          <w:i w:val="0"/>
          <w:sz w:val="24"/>
        </w:rPr>
        <w:t>A stratified 80/20 train-test split was held fixed for evaluation. RandomizedSearchCV tuned each RandomForestClassifier with three stratified folds and ROC AUC as the scoring rule. Class-weight balancing addressed unequal outcomes. For Lending Club, median imputation was fitted inside each cross-validation fold. For mortgage, rate_of_interest was excluded because its missingness nearly identifies Status; modeling used 124,437 complete cases on six pre-outcome numeric features. The best mortgage forest used 208 trees, depth 12, sqrt feature sampling, and minimum leaf size 13. The Lending Club forest used 289 trees, depth 8, all features per split, and minimum leaf size 12.</w:t>
      </w:r>
    </w:p>
    <w:p>
      <w:pPr>
        <w:pStyle w:val="FigureCaption"/>
        <w:keepNext w:val="0"/>
        <w:widowControl/>
        <w:spacing w:line="480" w:lineRule="auto" w:after="0" w:before="0"/>
        <w:jc w:val="center"/>
      </w:pPr>
      <w:r>
        <w:rPr>
          <w:rFonts w:ascii="Times New Roman" w:hAnsi="Times New Roman" w:eastAsia="Times New Roman"/>
          <w:i/>
          <w:sz w:val="24"/>
        </w:rPr>
        <w:t>Table 1. Validated random-forest performance on held-out test sets.</w:t>
      </w:r>
    </w:p>
    <w:tbl>
      <w:tblPr>
        <w:tblW w:type="auto" w:w="0"/>
        <w:jc w:val="center"/>
        <w:tblLayout w:type="fixed"/>
        <w:tblLook w:firstColumn="1" w:firstRow="1" w:lastColumn="0" w:lastRow="0" w:noHBand="0" w:noVBand="1" w:val="04A0"/>
        <w:tblBorders>
          <w:top w:val="single" w:sz="6" w:color="B7BDC7"/>
          <w:left w:val="single" w:sz="6" w:color="B7BDC7"/>
          <w:bottom w:val="single" w:sz="6" w:color="B7BDC7"/>
          <w:right w:val="single" w:sz="6" w:color="B7BDC7"/>
          <w:insideH w:val="single" w:sz="6" w:color="B7BDC7"/>
          <w:insideV w:val="single" w:sz="6" w:color="B7BDC7"/>
        </w:tblBorders>
      </w:tblPr>
      <w:tblGrid>
        <w:gridCol w:w="1560"/>
        <w:gridCol w:w="1560"/>
        <w:gridCol w:w="1560"/>
        <w:gridCol w:w="1560"/>
        <w:gridCol w:w="1560"/>
        <w:gridCol w:w="1560"/>
      </w:tblGrid>
      <w:tr>
        <w:tc>
          <w:tcPr>
            <w:tcW w:type="dxa" w:w="1872"/>
            <w:vAlign w:val="center"/>
            <w:shd w:fill="D9E2F3"/>
          </w:tcPr>
          <w:p>
            <w:pPr>
              <w:keepLines/>
              <w:widowControl/>
              <w:spacing w:line="480" w:lineRule="auto" w:after="0" w:before="0"/>
              <w:jc w:val="center"/>
            </w:pPr>
            <w:r/>
            <w:r>
              <w:rPr>
                <w:rFonts w:ascii="Times New Roman" w:hAnsi="Times New Roman" w:eastAsia="Times New Roman"/>
                <w:b/>
                <w:sz w:val="24"/>
              </w:rPr>
              <w:t>Dataset</w:t>
            </w:r>
          </w:p>
        </w:tc>
        <w:tc>
          <w:tcPr>
            <w:tcW w:type="dxa" w:w="1944"/>
            <w:vAlign w:val="center"/>
            <w:shd w:fill="D9E2F3"/>
          </w:tcPr>
          <w:p>
            <w:pPr>
              <w:keepLines/>
              <w:widowControl/>
              <w:spacing w:line="480" w:lineRule="auto" w:after="0" w:before="0"/>
              <w:jc w:val="center"/>
            </w:pPr>
            <w:r/>
            <w:r>
              <w:rPr>
                <w:rFonts w:ascii="Times New Roman" w:hAnsi="Times New Roman" w:eastAsia="Times New Roman"/>
                <w:b/>
                <w:sz w:val="24"/>
              </w:rPr>
              <w:t>n; adverse rate</w:t>
            </w:r>
          </w:p>
        </w:tc>
        <w:tc>
          <w:tcPr>
            <w:tcW w:type="dxa" w:w="1656"/>
            <w:vAlign w:val="center"/>
            <w:shd w:fill="D9E2F3"/>
          </w:tcPr>
          <w:p>
            <w:pPr>
              <w:keepLines/>
              <w:widowControl/>
              <w:spacing w:line="480" w:lineRule="auto" w:after="0" w:before="0"/>
              <w:jc w:val="center"/>
            </w:pPr>
            <w:r/>
            <w:r>
              <w:rPr>
                <w:rFonts w:ascii="Times New Roman" w:hAnsi="Times New Roman" w:eastAsia="Times New Roman"/>
                <w:b/>
                <w:sz w:val="24"/>
              </w:rPr>
              <w:t>CV / test AUC</w:t>
            </w:r>
          </w:p>
        </w:tc>
        <w:tc>
          <w:tcPr>
            <w:tcW w:type="dxa" w:w="1224"/>
            <w:vAlign w:val="center"/>
            <w:shd w:fill="D9E2F3"/>
          </w:tcPr>
          <w:p>
            <w:pPr>
              <w:keepLines/>
              <w:widowControl/>
              <w:spacing w:line="480" w:lineRule="auto" w:after="0" w:before="0"/>
              <w:jc w:val="center"/>
            </w:pPr>
            <w:r/>
            <w:r>
              <w:rPr>
                <w:rFonts w:ascii="Times New Roman" w:hAnsi="Times New Roman" w:eastAsia="Times New Roman"/>
                <w:b/>
                <w:sz w:val="24"/>
              </w:rPr>
              <w:t>Accuracy</w:t>
            </w:r>
          </w:p>
        </w:tc>
        <w:tc>
          <w:tcPr>
            <w:tcW w:type="dxa" w:w="1224"/>
            <w:vAlign w:val="center"/>
            <w:shd w:fill="D9E2F3"/>
          </w:tcPr>
          <w:p>
            <w:pPr>
              <w:keepLines/>
              <w:widowControl/>
              <w:spacing w:line="480" w:lineRule="auto" w:after="0" w:before="0"/>
              <w:jc w:val="center"/>
            </w:pPr>
            <w:r/>
            <w:r>
              <w:rPr>
                <w:rFonts w:ascii="Times New Roman" w:hAnsi="Times New Roman" w:eastAsia="Times New Roman"/>
                <w:b/>
                <w:sz w:val="24"/>
              </w:rPr>
              <w:t>Precision</w:t>
            </w:r>
          </w:p>
        </w:tc>
        <w:tc>
          <w:tcPr>
            <w:tcW w:type="dxa" w:w="1224"/>
            <w:vAlign w:val="center"/>
            <w:shd w:fill="D9E2F3"/>
          </w:tcPr>
          <w:p>
            <w:pPr>
              <w:keepLines/>
              <w:widowControl/>
              <w:spacing w:line="480" w:lineRule="auto" w:after="0" w:before="0"/>
              <w:jc w:val="center"/>
            </w:pPr>
            <w:r/>
            <w:r>
              <w:rPr>
                <w:rFonts w:ascii="Times New Roman" w:hAnsi="Times New Roman" w:eastAsia="Times New Roman"/>
                <w:b/>
                <w:sz w:val="24"/>
              </w:rPr>
              <w:t>Recall</w:t>
            </w:r>
          </w:p>
        </w:tc>
      </w:tr>
      <w:tr>
        <w:tc>
          <w:tcPr>
            <w:tcW w:type="dxa" w:w="1872"/>
            <w:vAlign w:val="center"/>
          </w:tcPr>
          <w:p>
            <w:pPr>
              <w:keepLines/>
              <w:widowControl/>
              <w:spacing w:line="480" w:lineRule="auto" w:after="0" w:before="0"/>
              <w:jc w:val="center"/>
            </w:pPr>
            <w:r/>
            <w:r>
              <w:rPr>
                <w:rFonts w:ascii="Times New Roman" w:hAnsi="Times New Roman" w:eastAsia="Times New Roman"/>
                <w:b w:val="0"/>
                <w:sz w:val="24"/>
              </w:rPr>
              <w:t>Mortgage</w:t>
            </w:r>
          </w:p>
        </w:tc>
        <w:tc>
          <w:tcPr>
            <w:tcW w:type="dxa" w:w="1944"/>
            <w:vAlign w:val="center"/>
          </w:tcPr>
          <w:p>
            <w:pPr>
              <w:keepLines/>
              <w:widowControl/>
              <w:spacing w:line="480" w:lineRule="auto" w:after="0" w:before="0"/>
              <w:jc w:val="center"/>
            </w:pPr>
            <w:r/>
            <w:r>
              <w:rPr>
                <w:rFonts w:ascii="Times New Roman" w:hAnsi="Times New Roman" w:eastAsia="Times New Roman"/>
                <w:b w:val="0"/>
                <w:sz w:val="24"/>
              </w:rPr>
              <w:t>124,437; 16.3%</w:t>
            </w:r>
          </w:p>
        </w:tc>
        <w:tc>
          <w:tcPr>
            <w:tcW w:type="dxa" w:w="1656"/>
            <w:vAlign w:val="center"/>
          </w:tcPr>
          <w:p>
            <w:pPr>
              <w:keepLines/>
              <w:widowControl/>
              <w:spacing w:line="480" w:lineRule="auto" w:after="0" w:before="0"/>
              <w:jc w:val="center"/>
            </w:pPr>
            <w:r/>
            <w:r>
              <w:rPr>
                <w:rFonts w:ascii="Times New Roman" w:hAnsi="Times New Roman" w:eastAsia="Times New Roman"/>
                <w:b w:val="0"/>
                <w:sz w:val="24"/>
              </w:rPr>
              <w:t>0.730 / 0.723</w:t>
            </w:r>
          </w:p>
        </w:tc>
        <w:tc>
          <w:tcPr>
            <w:tcW w:type="dxa" w:w="1224"/>
            <w:vAlign w:val="center"/>
          </w:tcPr>
          <w:p>
            <w:pPr>
              <w:keepLines/>
              <w:widowControl/>
              <w:spacing w:line="480" w:lineRule="auto" w:after="0" w:before="0"/>
              <w:jc w:val="center"/>
            </w:pPr>
            <w:r/>
            <w:r>
              <w:rPr>
                <w:rFonts w:ascii="Times New Roman" w:hAnsi="Times New Roman" w:eastAsia="Times New Roman"/>
                <w:b w:val="0"/>
                <w:sz w:val="24"/>
              </w:rPr>
              <w:t>0.760</w:t>
            </w:r>
          </w:p>
        </w:tc>
        <w:tc>
          <w:tcPr>
            <w:tcW w:type="dxa" w:w="1224"/>
            <w:vAlign w:val="center"/>
          </w:tcPr>
          <w:p>
            <w:pPr>
              <w:keepLines/>
              <w:widowControl/>
              <w:spacing w:line="480" w:lineRule="auto" w:after="0" w:before="0"/>
              <w:jc w:val="center"/>
            </w:pPr>
            <w:r/>
            <w:r>
              <w:rPr>
                <w:rFonts w:ascii="Times New Roman" w:hAnsi="Times New Roman" w:eastAsia="Times New Roman"/>
                <w:b w:val="0"/>
                <w:sz w:val="24"/>
              </w:rPr>
              <w:t>0.345</w:t>
            </w:r>
          </w:p>
        </w:tc>
        <w:tc>
          <w:tcPr>
            <w:tcW w:type="dxa" w:w="1224"/>
            <w:vAlign w:val="center"/>
          </w:tcPr>
          <w:p>
            <w:pPr>
              <w:keepLines/>
              <w:widowControl/>
              <w:spacing w:line="480" w:lineRule="auto" w:after="0" w:before="0"/>
              <w:jc w:val="center"/>
            </w:pPr>
            <w:r/>
            <w:r>
              <w:rPr>
                <w:rFonts w:ascii="Times New Roman" w:hAnsi="Times New Roman" w:eastAsia="Times New Roman"/>
                <w:b w:val="0"/>
                <w:sz w:val="24"/>
              </w:rPr>
              <w:t>0.525</w:t>
            </w:r>
          </w:p>
        </w:tc>
      </w:tr>
      <w:tr>
        <w:tc>
          <w:tcPr>
            <w:tcW w:type="dxa" w:w="1872"/>
            <w:vAlign w:val="center"/>
          </w:tcPr>
          <w:p>
            <w:pPr>
              <w:keepLines/>
              <w:widowControl/>
              <w:spacing w:line="480" w:lineRule="auto" w:after="0" w:before="0"/>
              <w:jc w:val="center"/>
            </w:pPr>
            <w:r/>
            <w:r>
              <w:rPr>
                <w:rFonts w:ascii="Times New Roman" w:hAnsi="Times New Roman" w:eastAsia="Times New Roman"/>
                <w:b w:val="0"/>
                <w:sz w:val="24"/>
              </w:rPr>
              <w:t>Lending Club</w:t>
            </w:r>
          </w:p>
        </w:tc>
        <w:tc>
          <w:tcPr>
            <w:tcW w:type="dxa" w:w="1944"/>
            <w:vAlign w:val="center"/>
          </w:tcPr>
          <w:p>
            <w:pPr>
              <w:keepLines/>
              <w:widowControl/>
              <w:spacing w:line="480" w:lineRule="auto" w:after="0" w:before="0"/>
              <w:jc w:val="center"/>
            </w:pPr>
            <w:r/>
            <w:r>
              <w:rPr>
                <w:rFonts w:ascii="Times New Roman" w:hAnsi="Times New Roman" w:eastAsia="Times New Roman"/>
                <w:b w:val="0"/>
                <w:sz w:val="24"/>
              </w:rPr>
              <w:t>61,100; 13.0%</w:t>
            </w:r>
          </w:p>
        </w:tc>
        <w:tc>
          <w:tcPr>
            <w:tcW w:type="dxa" w:w="1656"/>
            <w:vAlign w:val="center"/>
          </w:tcPr>
          <w:p>
            <w:pPr>
              <w:keepLines/>
              <w:widowControl/>
              <w:spacing w:line="480" w:lineRule="auto" w:after="0" w:before="0"/>
              <w:jc w:val="center"/>
            </w:pPr>
            <w:r/>
            <w:r>
              <w:rPr>
                <w:rFonts w:ascii="Times New Roman" w:hAnsi="Times New Roman" w:eastAsia="Times New Roman"/>
                <w:b w:val="0"/>
                <w:sz w:val="24"/>
              </w:rPr>
              <w:t>0.695 / 0.698</w:t>
            </w:r>
          </w:p>
        </w:tc>
        <w:tc>
          <w:tcPr>
            <w:tcW w:type="dxa" w:w="1224"/>
            <w:vAlign w:val="center"/>
          </w:tcPr>
          <w:p>
            <w:pPr>
              <w:keepLines/>
              <w:widowControl/>
              <w:spacing w:line="480" w:lineRule="auto" w:after="0" w:before="0"/>
              <w:jc w:val="center"/>
            </w:pPr>
            <w:r/>
            <w:r>
              <w:rPr>
                <w:rFonts w:ascii="Times New Roman" w:hAnsi="Times New Roman" w:eastAsia="Times New Roman"/>
                <w:b w:val="0"/>
                <w:sz w:val="24"/>
              </w:rPr>
              <w:t>0.648</w:t>
            </w:r>
          </w:p>
        </w:tc>
        <w:tc>
          <w:tcPr>
            <w:tcW w:type="dxa" w:w="1224"/>
            <w:vAlign w:val="center"/>
          </w:tcPr>
          <w:p>
            <w:pPr>
              <w:keepLines/>
              <w:widowControl/>
              <w:spacing w:line="480" w:lineRule="auto" w:after="0" w:before="0"/>
              <w:jc w:val="center"/>
            </w:pPr>
            <w:r/>
            <w:r>
              <w:rPr>
                <w:rFonts w:ascii="Times New Roman" w:hAnsi="Times New Roman" w:eastAsia="Times New Roman"/>
                <w:b w:val="0"/>
                <w:sz w:val="24"/>
              </w:rPr>
              <w:t>0.215</w:t>
            </w:r>
          </w:p>
        </w:tc>
        <w:tc>
          <w:tcPr>
            <w:tcW w:type="dxa" w:w="1224"/>
            <w:vAlign w:val="center"/>
          </w:tcPr>
          <w:p>
            <w:pPr>
              <w:keepLines/>
              <w:widowControl/>
              <w:spacing w:line="480" w:lineRule="auto" w:after="0" w:before="0"/>
              <w:jc w:val="center"/>
            </w:pPr>
            <w:r/>
            <w:r>
              <w:rPr>
                <w:rFonts w:ascii="Times New Roman" w:hAnsi="Times New Roman" w:eastAsia="Times New Roman"/>
                <w:b w:val="0"/>
                <w:sz w:val="24"/>
              </w:rPr>
              <w:t>0.643</w:t>
            </w:r>
          </w:p>
        </w:tc>
      </w:tr>
    </w:tbl>
    <w:p>
      <w:pPr>
        <w:widowControl/>
        <w:spacing w:line="480" w:lineRule="auto" w:after="0" w:before="0"/>
      </w:pPr>
      <w:r>
        <w:rPr>
          <w:rFonts w:ascii="Times New Roman" w:hAnsi="Times New Roman" w:eastAsia="Times New Roman"/>
          <w:b w:val="0"/>
          <w:i w:val="0"/>
          <w:sz w:val="24"/>
        </w:rPr>
        <w:t>AUC measures ranking across thresholds, whereas precision and recall describe the specific 0.50 cutoff. The mortgage confusion matrix contains 20,974 true negatives, 5,056 false positives, 2,413 false negatives, and 2,667 true positives. Lending Club contains 8,621, 4,662, 712, and 1,280, respectively. The lower Lending precision shows why the threshold must be selected from review capacity and error cost—not inherited from a software default.</w:t>
      </w:r>
    </w:p>
    <w:p>
      <w:r>
        <w:br w:type="page"/>
      </w:r>
    </w:p>
    <w:p>
      <w:pPr>
        <w:pStyle w:val="Heading2"/>
        <w:keepNext/>
        <w:widowControl/>
        <w:spacing w:line="480" w:lineRule="auto" w:after="0" w:before="0"/>
      </w:pPr>
      <w:r>
        <w:rPr>
          <w:rFonts w:ascii="Times New Roman" w:hAnsi="Times New Roman" w:eastAsia="Times New Roman"/>
          <w:b/>
          <w:i/>
          <w:sz w:val="24"/>
        </w:rPr>
        <w:t>Random forest interpretation: which variables the models used</w:t>
      </w:r>
    </w:p>
    <w:p>
      <w:pPr>
        <w:widowControl/>
        <w:spacing w:line="480" w:lineRule="auto" w:after="0" w:before="0"/>
      </w:pPr>
      <w:r>
        <w:rPr>
          <w:rFonts w:ascii="Times New Roman" w:hAnsi="Times New Roman" w:eastAsia="Times New Roman"/>
          <w:b w:val="0"/>
          <w:i w:val="0"/>
          <w:sz w:val="24"/>
        </w:rPr>
        <w:t>Impurity-based importance indicates how often a feature improved forest splits; it is not a causal effect. Mortgage importance is led by DTI (0.317), income (0.224), and LTV (0.207). Lending Club is concentrated in interest rate (0.623); DTI, annual income, revolving utilization, installment, FICO, and total accounts each contribute 0.069 or less.</w:t>
      </w:r>
    </w:p>
    <w:p>
      <w:pPr>
        <w:keepLines/>
        <w:spacing w:before="0" w:after="0"/>
        <w:jc w:val="center"/>
      </w:pPr>
      <w:r>
        <w:drawing>
          <wp:inline xmlns:a="http://schemas.openxmlformats.org/drawingml/2006/main" xmlns:pic="http://schemas.openxmlformats.org/drawingml/2006/picture">
            <wp:extent cx="5120640" cy="2622040"/>
            <wp:docPr id="5" name="Picture 5"/>
            <wp:cNvGraphicFramePr>
              <a:graphicFrameLocks noChangeAspect="1"/>
            </wp:cNvGraphicFramePr>
            <a:graphic>
              <a:graphicData uri="http://schemas.openxmlformats.org/drawingml/2006/picture">
                <pic:pic>
                  <pic:nvPicPr>
                    <pic:cNvPr id="0" name="figure-05-feature-importance.png"/>
                    <pic:cNvPicPr/>
                  </pic:nvPicPr>
                  <pic:blipFill>
                    <a:blip r:embed="rId14"/>
                    <a:stretch>
                      <a:fillRect/>
                    </a:stretch>
                  </pic:blipFill>
                  <pic:spPr>
                    <a:xfrm>
                      <a:off x="0" y="0"/>
                      <a:ext cx="5120640" cy="2622040"/>
                    </a:xfrm>
                    <a:prstGeom prst="rect"/>
                  </pic:spPr>
                </pic:pic>
              </a:graphicData>
            </a:graphic>
          </wp:inline>
        </w:drawing>
      </w:r>
    </w:p>
    <w:p>
      <w:pPr>
        <w:pStyle w:val="FigureCaption"/>
        <w:keepNext w:val="0"/>
        <w:widowControl/>
        <w:spacing w:line="480" w:lineRule="auto" w:after="0" w:before="0"/>
        <w:jc w:val="center"/>
      </w:pPr>
      <w:r>
        <w:rPr>
          <w:rFonts w:ascii="Times New Roman" w:hAnsi="Times New Roman" w:eastAsia="Times New Roman"/>
          <w:i/>
          <w:sz w:val="24"/>
        </w:rPr>
        <w:t>Figure 5. Random-forest impurity importance by dataset. Values describe model use, not causation.</w:t>
      </w:r>
    </w:p>
    <w:p>
      <w:pPr>
        <w:widowControl/>
        <w:spacing w:line="480" w:lineRule="auto" w:after="0" w:before="0"/>
      </w:pPr>
      <w:r>
        <w:rPr>
          <w:rFonts w:ascii="Times New Roman" w:hAnsi="Times New Roman" w:eastAsia="Times New Roman"/>
          <w:b w:val="0"/>
          <w:i w:val="0"/>
          <w:sz w:val="24"/>
        </w:rPr>
        <w:t>Affordability dominates mortgage risk, while an interest rate already shaped by underwriting dominates Lending Club. Module C will add held-out permutation importance and time-stability checks so a single fitted forest does not determine the narrative.</w:t>
      </w:r>
    </w:p>
    <w:p>
      <w:r>
        <w:br w:type="page"/>
      </w:r>
    </w:p>
    <w:p>
      <w:pPr>
        <w:pStyle w:val="Heading2"/>
        <w:keepNext/>
        <w:widowControl/>
        <w:spacing w:line="480" w:lineRule="auto" w:after="0" w:before="0"/>
      </w:pPr>
      <w:r>
        <w:rPr>
          <w:rFonts w:ascii="Times New Roman" w:hAnsi="Times New Roman" w:eastAsia="Times New Roman"/>
          <w:b/>
          <w:i/>
          <w:sz w:val="24"/>
        </w:rPr>
        <w:t>Random forest interpretation: operational separation</w:t>
      </w:r>
    </w:p>
    <w:p>
      <w:pPr>
        <w:widowControl/>
        <w:spacing w:line="480" w:lineRule="auto" w:after="0" w:before="0"/>
      </w:pPr>
      <w:r>
        <w:rPr>
          <w:rFonts w:ascii="Times New Roman" w:hAnsi="Times New Roman" w:eastAsia="Times New Roman"/>
          <w:b w:val="0"/>
          <w:i w:val="0"/>
          <w:sz w:val="24"/>
        </w:rPr>
        <w:t>Risk deciles translate AUC into reviewer capacity. On held-out data, mortgage default rises from 6% in the lowest-risk decile to 52% in the highest, 3.2 times the complete-case average. Lending Club rises from 3% to 30%, 2.3 times average. Both sequences are ordered.</w:t>
      </w:r>
    </w:p>
    <w:p>
      <w:pPr>
        <w:keepLines/>
        <w:spacing w:before="0" w:after="0"/>
        <w:jc w:val="center"/>
      </w:pPr>
      <w:r>
        <w:drawing>
          <wp:inline xmlns:a="http://schemas.openxmlformats.org/drawingml/2006/main" xmlns:pic="http://schemas.openxmlformats.org/drawingml/2006/picture">
            <wp:extent cx="5120640" cy="2624222"/>
            <wp:docPr id="6" name="Picture 6"/>
            <wp:cNvGraphicFramePr>
              <a:graphicFrameLocks noChangeAspect="1"/>
            </wp:cNvGraphicFramePr>
            <a:graphic>
              <a:graphicData uri="http://schemas.openxmlformats.org/drawingml/2006/picture">
                <pic:pic>
                  <pic:nvPicPr>
                    <pic:cNvPr id="0" name="figure-06-risk-deciles.png"/>
                    <pic:cNvPicPr/>
                  </pic:nvPicPr>
                  <pic:blipFill>
                    <a:blip r:embed="rId15"/>
                    <a:stretch>
                      <a:fillRect/>
                    </a:stretch>
                  </pic:blipFill>
                  <pic:spPr>
                    <a:xfrm>
                      <a:off x="0" y="0"/>
                      <a:ext cx="5120640" cy="2624222"/>
                    </a:xfrm>
                    <a:prstGeom prst="rect"/>
                  </pic:spPr>
                </pic:pic>
              </a:graphicData>
            </a:graphic>
          </wp:inline>
        </w:drawing>
      </w:r>
    </w:p>
    <w:p>
      <w:pPr>
        <w:pStyle w:val="FigureCaption"/>
        <w:keepNext w:val="0"/>
        <w:widowControl/>
        <w:spacing w:line="480" w:lineRule="auto" w:after="0" w:before="0"/>
        <w:jc w:val="center"/>
      </w:pPr>
      <w:r>
        <w:rPr>
          <w:rFonts w:ascii="Times New Roman" w:hAnsi="Times New Roman" w:eastAsia="Times New Roman"/>
          <w:i/>
          <w:sz w:val="24"/>
        </w:rPr>
        <w:t>Figure 6. Held-out adverse-outcome rate by predicted-risk decile; decile 10 is highest risk.</w:t>
      </w:r>
    </w:p>
    <w:p>
      <w:pPr>
        <w:widowControl/>
        <w:spacing w:line="480" w:lineRule="auto" w:after="0" w:before="0"/>
      </w:pPr>
      <w:r>
        <w:rPr>
          <w:rFonts w:ascii="Times New Roman" w:hAnsi="Times New Roman" w:eastAsia="Times New Roman"/>
          <w:b w:val="0"/>
          <w:i w:val="0"/>
          <w:sz w:val="24"/>
        </w:rPr>
        <w:t>The result supports prioritized human review, not automatic denial: the top decile still contains many nondefaults and the model misses defaults below it. Calibration, time stability, reason codes, and subgroup errors remain gating tests because complex models do not remove the duty to give accurate, specific adverse-action reasons (CFPB, 2022).</w:t>
      </w:r>
    </w:p>
    <w:p>
      <w:r>
        <w:br w:type="page"/>
      </w:r>
    </w:p>
    <w:p>
      <w:pPr>
        <w:pStyle w:val="Heading2"/>
        <w:keepNext/>
        <w:widowControl/>
        <w:spacing w:line="480" w:lineRule="auto" w:after="0" w:before="0"/>
      </w:pPr>
      <w:r>
        <w:rPr>
          <w:rFonts w:ascii="Times New Roman" w:hAnsi="Times New Roman" w:eastAsia="Times New Roman"/>
          <w:b/>
          <w:i/>
          <w:sz w:val="24"/>
        </w:rPr>
        <w:t>c. Relationship to analysis from Week 1-7</w:t>
      </w:r>
    </w:p>
    <w:p>
      <w:pPr>
        <w:widowControl/>
        <w:spacing w:line="480" w:lineRule="auto" w:after="0" w:before="0"/>
      </w:pPr>
      <w:r>
        <w:rPr>
          <w:rFonts w:ascii="Times New Roman" w:hAnsi="Times New Roman" w:eastAsia="Times New Roman"/>
          <w:b w:val="0"/>
          <w:i w:val="0"/>
          <w:sz w:val="24"/>
        </w:rPr>
        <w:t>Week 2 documented scale, missingness, outcome definitions, and the planned model comparison. Week 4 found right-skewed amounts and class imbalance. Week 6 found weak mortgage pairwise correlations (DTI 0.078; income −0.065), while Lending Club interest rate was strongest at 0.206 and risk rose from grade A to G. Week 7 framed the 100%+ LTV risk jump.</w:t>
      </w:r>
    </w:p>
    <w:p>
      <w:pPr>
        <w:widowControl/>
        <w:spacing w:line="480" w:lineRule="auto" w:after="0" w:before="0"/>
      </w:pPr>
      <w:r>
        <w:rPr>
          <w:rFonts w:ascii="Times New Roman" w:hAnsi="Times New Roman" w:eastAsia="Times New Roman"/>
          <w:b w:val="0"/>
          <w:i w:val="0"/>
          <w:sz w:val="24"/>
        </w:rPr>
        <w:t>Weeks 8–12 add nonlinear interactions, multidimensionality, and model comparisons. The mortgage forest improves logistic AUC from 0.586 to 0.723, but the population changes: complete cases default at 16.3% versus 24.6% overall because property value and LTV are missing for 15,098 records, 99.99% with Status = 1. This is selection, not model progress.</w:t>
      </w:r>
    </w:p>
    <w:p>
      <w:pPr>
        <w:pStyle w:val="Heading1"/>
        <w:keepNext/>
        <w:widowControl/>
        <w:spacing w:line="480" w:lineRule="auto" w:after="0" w:before="0"/>
      </w:pPr>
      <w:r>
        <w:rPr>
          <w:rFonts w:ascii="Times New Roman" w:hAnsi="Times New Roman" w:eastAsia="Times New Roman"/>
          <w:b/>
          <w:i w:val="0"/>
          <w:sz w:val="24"/>
        </w:rPr>
        <w:t>3. Data conclusions</w:t>
      </w:r>
    </w:p>
    <w:p>
      <w:pPr>
        <w:widowControl/>
        <w:spacing w:line="480" w:lineRule="auto" w:after="0" w:before="0"/>
      </w:pPr>
      <w:r>
        <w:rPr>
          <w:rFonts w:ascii="Times New Roman" w:hAnsi="Times New Roman" w:eastAsia="Times New Roman"/>
          <w:b w:val="0"/>
          <w:i w:val="0"/>
          <w:sz w:val="24"/>
        </w:rPr>
        <w:t>Expected findings were the grade gradient and the importance of interest rate, income, DTI, and LTV. Unexpected findings were weak standalone mortgage credit score, nonlinear DTI, the number of PCA components needed, and near-deterministic missingness. The evidence is shareable for exploration because imbalance and limitations are explicit and metrics were reproduced. It is not production evidence: Lending Club is accepted-only, mortgage lacks time validation, outcomes may mature differently, and current data cannot establish protected-class fairness.</w:t>
      </w:r>
    </w:p>
    <w:p>
      <w:r>
        <w:br w:type="page"/>
      </w:r>
    </w:p>
    <w:p>
      <w:pPr>
        <w:pStyle w:val="Heading1"/>
        <w:keepNext/>
        <w:widowControl/>
        <w:spacing w:line="480" w:lineRule="auto" w:after="0" w:before="0"/>
      </w:pPr>
      <w:r>
        <w:rPr>
          <w:rFonts w:ascii="Times New Roman" w:hAnsi="Times New Roman" w:eastAsia="Times New Roman"/>
          <w:b/>
          <w:i w:val="0"/>
          <w:sz w:val="24"/>
        </w:rPr>
        <w:t>4. Proposal</w:t>
      </w:r>
    </w:p>
    <w:p>
      <w:pPr>
        <w:widowControl/>
        <w:spacing w:line="480" w:lineRule="auto" w:after="0" w:before="0"/>
      </w:pPr>
      <w:r>
        <w:rPr>
          <w:rFonts w:ascii="Times New Roman" w:hAnsi="Times New Roman" w:eastAsia="Times New Roman"/>
          <w:b w:val="0"/>
          <w:i w:val="0"/>
          <w:sz w:val="24"/>
        </w:rPr>
        <w:t>Module C will develop an auditable early-risk ranking system for consumer lending. The primary population will be Accepted Lending Club loans because the file is large and has issue dates for out-of-time evaluation; mortgage will be a robustness benchmark, not pooled training data. The system will prioritize monitoring or human review, not issue an automatic adverse decision.</w:t>
      </w:r>
    </w:p>
    <w:p>
      <w:pPr>
        <w:widowControl/>
        <w:spacing w:line="480" w:lineRule="auto" w:after="0" w:before="0"/>
      </w:pPr>
      <w:r>
        <w:rPr>
          <w:rFonts w:ascii="Times New Roman" w:hAnsi="Times New Roman" w:eastAsia="Times New Roman"/>
          <w:b/>
          <w:sz w:val="24"/>
        </w:rPr>
        <w:t xml:space="preserve">Research question 1. </w:t>
      </w:r>
      <w:r>
        <w:rPr>
          <w:rFonts w:ascii="Times New Roman" w:hAnsi="Times New Roman" w:eastAsia="Times New Roman"/>
          <w:sz w:val="24"/>
        </w:rPr>
        <w:t>Do models using only pre-outcome, operationally available features improve out-of-time discrimination over the current logistic baseline and Week 11 random forest?</w:t>
      </w:r>
    </w:p>
    <w:p>
      <w:pPr>
        <w:widowControl/>
        <w:spacing w:line="480" w:lineRule="auto" w:after="0" w:before="0"/>
      </w:pPr>
      <w:r>
        <w:rPr>
          <w:rFonts w:ascii="Times New Roman" w:hAnsi="Times New Roman" w:eastAsia="Times New Roman"/>
          <w:b/>
          <w:sz w:val="24"/>
        </w:rPr>
        <w:t xml:space="preserve">Research question 2. </w:t>
      </w:r>
      <w:r>
        <w:rPr>
          <w:rFonts w:ascii="Times New Roman" w:hAnsi="Times New Roman" w:eastAsia="Times New Roman"/>
          <w:sz w:val="24"/>
        </w:rPr>
        <w:t>Can predicted probabilities reliably concentrate adverse outcomes in the highest-risk deciles while remaining calibrated enough to compare risk across months?</w:t>
      </w:r>
    </w:p>
    <w:p>
      <w:pPr>
        <w:widowControl/>
        <w:spacing w:line="480" w:lineRule="auto" w:after="0" w:before="0"/>
      </w:pPr>
      <w:r>
        <w:rPr>
          <w:rFonts w:ascii="Times New Roman" w:hAnsi="Times New Roman" w:eastAsia="Times New Roman"/>
          <w:b/>
          <w:sz w:val="24"/>
        </w:rPr>
        <w:t xml:space="preserve">Research question 3. </w:t>
      </w:r>
      <w:r>
        <w:rPr>
          <w:rFonts w:ascii="Times New Roman" w:hAnsi="Times New Roman" w:eastAsia="Times New Roman"/>
          <w:sz w:val="24"/>
        </w:rPr>
        <w:t>Are ranking, calibration, and threshold errors stable over time and across available, legally reviewable borrower or loan segments?</w:t>
      </w:r>
    </w:p>
    <w:p>
      <w:pPr>
        <w:widowControl/>
        <w:spacing w:line="480" w:lineRule="auto" w:after="0" w:before="0"/>
      </w:pPr>
      <w:r>
        <w:rPr>
          <w:rFonts w:ascii="Times New Roman" w:hAnsi="Times New Roman" w:eastAsia="Times New Roman"/>
          <w:b w:val="0"/>
          <w:i w:val="0"/>
          <w:sz w:val="24"/>
        </w:rPr>
        <w:t>Lending Club grade and interest rate contain signal, but test AUC 0.698 leaves room to improve; the top-decile adverse rate is already 2.3 times average. Accepted-only records cannot estimate rejected-applicant outcomes, so rejected data will describe selection, not create counterfactual labels. Industry value is focused review. Public value is documented limits, errors, and explanations aligned with CFPB expectations (CFPB, 2022).</w:t>
      </w:r>
    </w:p>
    <w:p>
      <w:r>
        <w:br w:type="page"/>
      </w:r>
    </w:p>
    <w:p>
      <w:pPr>
        <w:pStyle w:val="Heading2"/>
        <w:keepNext/>
        <w:widowControl/>
        <w:spacing w:line="480" w:lineRule="auto" w:after="0" w:before="0"/>
      </w:pPr>
      <w:r>
        <w:rPr>
          <w:rFonts w:ascii="Times New Roman" w:hAnsi="Times New Roman" w:eastAsia="Times New Roman"/>
          <w:b/>
          <w:i/>
          <w:sz w:val="24"/>
        </w:rPr>
        <w:t>Proposed modeling and validation process</w:t>
      </w:r>
    </w:p>
    <w:p>
      <w:pPr>
        <w:widowControl/>
        <w:spacing w:line="480" w:lineRule="auto" w:after="0" w:before="0"/>
      </w:pPr>
      <w:r>
        <w:rPr>
          <w:rFonts w:ascii="Times New Roman" w:hAnsi="Times New Roman" w:eastAsia="Times New Roman"/>
          <w:b w:val="0"/>
          <w:i w:val="0"/>
          <w:sz w:val="24"/>
        </w:rPr>
        <w:t>First, a data dictionary will tag every candidate variable as application-time, post-origination, outcome-derived, sensitive, or unavailable at decision time. Leakage checks will compare missingness and timing with the target. Duplicates, impossible values, target maturity, and monthly shifts will be reported. Imputation, transforms, and categorical encoding will be fitted only within training folds.</w:t>
      </w:r>
    </w:p>
    <w:p>
      <w:pPr>
        <w:widowControl/>
        <w:spacing w:line="480" w:lineRule="auto" w:after="0" w:before="0"/>
      </w:pPr>
      <w:r>
        <w:rPr>
          <w:rFonts w:ascii="Times New Roman" w:hAnsi="Times New Roman" w:eastAsia="Times New Roman"/>
          <w:b w:val="0"/>
          <w:i w:val="0"/>
          <w:sz w:val="24"/>
        </w:rPr>
        <w:t>A regularized logistic regression will remain the interpretable baseline. Random forest and histogram gradient boosting will test nonlinearities. Randomized search will operate inside expanding-window validation; the latest period remains untouched for the final test. Mortgage will test broad robustness, with no averaging across different targets.</w:t>
      </w:r>
    </w:p>
    <w:p>
      <w:pPr>
        <w:widowControl/>
        <w:spacing w:line="480" w:lineRule="auto" w:after="0" w:before="0"/>
      </w:pPr>
      <w:r>
        <w:rPr>
          <w:rFonts w:ascii="Times New Roman" w:hAnsi="Times New Roman" w:eastAsia="Times New Roman"/>
          <w:b w:val="0"/>
          <w:i w:val="0"/>
          <w:sz w:val="24"/>
        </w:rPr>
        <w:t>ROC AUC and precision-recall AUC will measure ranking; log loss, Brier score, and reliability plots will measure calibration. Precision, recall, F1, confusion matrices, recall at a fixed review rate, and top-decile lift will test operating value. Bootstrap intervals and fold-to-holdout gaps will quantify uncertainty; permutation importance and reason-code review will test explanation stability.</w:t>
      </w:r>
    </w:p>
    <w:p>
      <w:pPr>
        <w:widowControl/>
        <w:spacing w:line="480" w:lineRule="auto" w:after="0" w:before="0"/>
      </w:pPr>
      <w:r>
        <w:rPr>
          <w:rFonts w:ascii="Times New Roman" w:hAnsi="Times New Roman" w:eastAsia="Times New Roman"/>
          <w:b w:val="0"/>
          <w:i w:val="0"/>
          <w:sz w:val="24"/>
        </w:rPr>
        <w:t>Where lawful and supported, audit slices will compare AUC, calibration, false-positive rate, and recall across time and available groups. Small groups will carry intervals or be suppressed. Gains that depend on leakage, unstable subgroups, or unusable reason codes will be rejected.</w:t>
      </w:r>
    </w:p>
    <w:p>
      <w:r>
        <w:br w:type="page"/>
      </w:r>
    </w:p>
    <w:p>
      <w:pPr>
        <w:pStyle w:val="Heading2"/>
        <w:keepNext/>
        <w:widowControl/>
        <w:spacing w:line="480" w:lineRule="auto" w:after="0" w:before="0"/>
      </w:pPr>
      <w:r>
        <w:rPr>
          <w:rFonts w:ascii="Times New Roman" w:hAnsi="Times New Roman" w:eastAsia="Times New Roman"/>
          <w:b/>
          <w:i/>
          <w:sz w:val="24"/>
        </w:rPr>
        <w:t>Success criteria and deliverables</w:t>
      </w:r>
    </w:p>
    <w:p>
      <w:pPr>
        <w:widowControl/>
        <w:spacing w:line="480" w:lineRule="auto" w:after="0" w:before="0"/>
      </w:pPr>
      <w:r>
        <w:rPr>
          <w:rFonts w:ascii="Times New Roman" w:hAnsi="Times New Roman" w:eastAsia="Times New Roman"/>
          <w:b w:val="0"/>
          <w:i w:val="0"/>
          <w:sz w:val="24"/>
        </w:rPr>
        <w:t>The primary success threshold is out-of-time Lending Club ROC AUC of at least 0.73, with an improvement of at least 0.02 over the same-split logistic baseline and no more than 0.03 deterioration from cross-validation to holdout. The top decile should reach 2.5 times the adverse rate, Brier score should improve 10%, and capacity-based precision and recall must beat random selection and Week 11. Recall or false-positive-rate gaps above 0.05 will trigger investigation and mitigation or documented rejection.</w:t>
      </w:r>
    </w:p>
    <w:p>
      <w:pPr>
        <w:widowControl/>
        <w:spacing w:line="480" w:lineRule="auto" w:after="0" w:before="0"/>
      </w:pPr>
      <w:r>
        <w:rPr>
          <w:rFonts w:ascii="Times New Roman" w:hAnsi="Times New Roman" w:eastAsia="Times New Roman"/>
          <w:b w:val="0"/>
          <w:i w:val="0"/>
          <w:sz w:val="24"/>
        </w:rPr>
        <w:t>Deliverables are a reproducible pipeline, data dictionary, model card, validation report, threshold-capacity table, explanation review, and decision brief. Checkpoints are (1) data/leakage audit, (2) baseline/time split, (3) tuning/calibration/error analysis, and (4) robustness and recommendation: controlled pilot, revise/retest, or stop.</w:t>
      </w:r>
    </w:p>
    <w:p>
      <w:pPr>
        <w:pStyle w:val="Heading1"/>
        <w:keepNext/>
        <w:widowControl/>
        <w:spacing w:line="480" w:lineRule="auto" w:after="0" w:before="0"/>
      </w:pPr>
      <w:r>
        <w:rPr>
          <w:rFonts w:ascii="Times New Roman" w:hAnsi="Times New Roman" w:eastAsia="Times New Roman"/>
          <w:b/>
          <w:i w:val="0"/>
          <w:sz w:val="24"/>
        </w:rPr>
        <w:t>5. Teamwork</w:t>
      </w:r>
    </w:p>
    <w:p>
      <w:pPr>
        <w:widowControl/>
        <w:spacing w:line="480" w:lineRule="auto" w:after="0" w:before="0"/>
      </w:pPr>
      <w:r>
        <w:rPr>
          <w:rFonts w:ascii="Times New Roman" w:hAnsi="Times New Roman" w:eastAsia="Times New Roman"/>
          <w:b w:val="0"/>
          <w:i w:val="0"/>
          <w:sz w:val="24"/>
        </w:rPr>
        <w:t>The supplied files identify an individual submission and contain no teammate, contract, or team-communication record. No other member can be scored without fabrication.</w:t>
      </w:r>
    </w:p>
    <w:tbl>
      <w:tblPr>
        <w:tblW w:type="auto" w:w="0"/>
        <w:jc w:val="center"/>
        <w:tblLook w:firstColumn="1" w:firstRow="1" w:lastColumn="0" w:lastRow="0" w:noHBand="0" w:noVBand="1" w:val="04A0"/>
        <w:tblBorders>
          <w:top w:val="single" w:sz="6" w:color="B7BDC7"/>
          <w:left w:val="single" w:sz="6" w:color="B7BDC7"/>
          <w:bottom w:val="single" w:sz="6" w:color="B7BDC7"/>
          <w:right w:val="single" w:sz="6" w:color="B7BDC7"/>
          <w:insideH w:val="single" w:sz="6" w:color="B7BDC7"/>
          <w:insideV w:val="single" w:sz="6" w:color="B7BDC7"/>
        </w:tblBorders>
      </w:tblPr>
      <w:tblGrid>
        <w:gridCol w:w="3120"/>
        <w:gridCol w:w="3120"/>
        <w:gridCol w:w="3120"/>
      </w:tblGrid>
      <w:tr>
        <w:tc>
          <w:tcPr>
            <w:tcW w:type="dxa" w:w="1944"/>
            <w:vAlign w:val="center"/>
            <w:shd w:fill="D9E2F3"/>
          </w:tcPr>
          <w:p>
            <w:pPr>
              <w:keepLines/>
              <w:widowControl/>
              <w:spacing w:line="480" w:lineRule="auto" w:after="0" w:before="0"/>
              <w:jc w:val="center"/>
            </w:pPr>
            <w:r/>
            <w:r>
              <w:rPr>
                <w:rFonts w:ascii="Times New Roman" w:hAnsi="Times New Roman" w:eastAsia="Times New Roman"/>
                <w:b/>
                <w:sz w:val="24"/>
              </w:rPr>
              <w:t>Member</w:t>
            </w:r>
          </w:p>
        </w:tc>
        <w:tc>
          <w:tcPr>
            <w:tcW w:type="dxa" w:w="1584"/>
            <w:vAlign w:val="center"/>
            <w:shd w:fill="D9E2F3"/>
          </w:tcPr>
          <w:p>
            <w:pPr>
              <w:keepLines/>
              <w:widowControl/>
              <w:spacing w:line="480" w:lineRule="auto" w:after="0" w:before="0"/>
              <w:jc w:val="center"/>
            </w:pPr>
            <w:r/>
            <w:r>
              <w:rPr>
                <w:rFonts w:ascii="Times New Roman" w:hAnsi="Times New Roman" w:eastAsia="Times New Roman"/>
                <w:b/>
                <w:sz w:val="24"/>
              </w:rPr>
              <w:t>Score (1–5)</w:t>
            </w:r>
          </w:p>
        </w:tc>
        <w:tc>
          <w:tcPr>
            <w:tcW w:type="dxa" w:w="5832"/>
            <w:vAlign w:val="center"/>
            <w:shd w:fill="D9E2F3"/>
          </w:tcPr>
          <w:p>
            <w:pPr>
              <w:keepLines/>
              <w:widowControl/>
              <w:spacing w:line="480" w:lineRule="auto" w:after="0" w:before="0"/>
              <w:jc w:val="center"/>
            </w:pPr>
            <w:r/>
            <w:r>
              <w:rPr>
                <w:rFonts w:ascii="Times New Roman" w:hAnsi="Times New Roman" w:eastAsia="Times New Roman"/>
                <w:b/>
                <w:sz w:val="24"/>
              </w:rPr>
              <w:t>Comment</w:t>
            </w:r>
          </w:p>
        </w:tc>
      </w:tr>
      <w:tr>
        <w:tc>
          <w:tcPr>
            <w:tcW w:type="dxa" w:w="1944"/>
            <w:vAlign w:val="center"/>
          </w:tcPr>
          <w:p>
            <w:pPr>
              <w:keepLines/>
              <w:widowControl/>
              <w:spacing w:line="480" w:lineRule="auto" w:after="0" w:before="0"/>
              <w:jc w:val="center"/>
            </w:pPr>
            <w:r/>
            <w:r>
              <w:rPr>
                <w:rFonts w:ascii="Times New Roman" w:hAnsi="Times New Roman" w:eastAsia="Times New Roman"/>
                <w:b w:val="0"/>
                <w:sz w:val="24"/>
              </w:rPr>
              <w:t>Calvin Baker (self)</w:t>
            </w:r>
          </w:p>
        </w:tc>
        <w:tc>
          <w:tcPr>
            <w:tcW w:type="dxa" w:w="1584"/>
            <w:vAlign w:val="center"/>
          </w:tcPr>
          <w:p>
            <w:pPr>
              <w:keepLines/>
              <w:widowControl/>
              <w:spacing w:line="480" w:lineRule="auto" w:after="0" w:before="0"/>
              <w:jc w:val="center"/>
            </w:pPr>
            <w:r/>
            <w:r>
              <w:rPr>
                <w:rFonts w:ascii="Times New Roman" w:hAnsi="Times New Roman" w:eastAsia="Times New Roman"/>
                <w:b w:val="0"/>
                <w:sz w:val="24"/>
              </w:rPr>
              <w:t>5</w:t>
            </w:r>
          </w:p>
        </w:tc>
        <w:tc>
          <w:tcPr>
            <w:tcW w:type="dxa" w:w="5832"/>
            <w:vAlign w:val="center"/>
          </w:tcPr>
          <w:p>
            <w:pPr>
              <w:keepLines/>
              <w:widowControl/>
              <w:spacing w:line="480" w:lineRule="auto" w:after="0" w:before="0"/>
              <w:jc w:val="center"/>
            </w:pPr>
            <w:r/>
            <w:r>
              <w:rPr>
                <w:rFonts w:ascii="Times New Roman" w:hAnsi="Times New Roman" w:eastAsia="Times New Roman"/>
                <w:b w:val="0"/>
                <w:sz w:val="24"/>
              </w:rPr>
              <w:t>Completed weekly analyses, integrated milestones, reproduced final models, and documented limitations. Individual submission; team criteria are not applicable.</w:t>
            </w:r>
          </w:p>
        </w:tc>
      </w:tr>
    </w:tbl>
    <w:p>
      <w:r>
        <w:br w:type="page"/>
      </w:r>
    </w:p>
    <w:p>
      <w:pPr>
        <w:pStyle w:val="Heading1"/>
        <w:keepNext/>
        <w:widowControl/>
        <w:spacing w:line="480" w:lineRule="auto" w:after="0" w:before="0"/>
      </w:pPr>
      <w:r>
        <w:rPr>
          <w:rFonts w:ascii="Times New Roman" w:hAnsi="Times New Roman" w:eastAsia="Times New Roman"/>
          <w:b/>
          <w:i w:val="0"/>
          <w:sz w:val="24"/>
        </w:rPr>
        <w:t>Appendices</w:t>
      </w:r>
    </w:p>
    <w:p>
      <w:pPr>
        <w:pStyle w:val="Heading1"/>
        <w:keepNext/>
        <w:widowControl/>
        <w:spacing w:line="480" w:lineRule="auto" w:after="0" w:before="0"/>
      </w:pPr>
      <w:r>
        <w:rPr>
          <w:rFonts w:ascii="Times New Roman" w:hAnsi="Times New Roman" w:eastAsia="Times New Roman"/>
          <w:b/>
          <w:i w:val="0"/>
          <w:sz w:val="24"/>
        </w:rPr>
        <w:t>6. Citations/bibliography</w:t>
      </w:r>
    </w:p>
    <w:p>
      <w:pPr>
        <w:widowControl/>
        <w:spacing w:line="480" w:lineRule="auto" w:after="0" w:before="0"/>
        <w:ind w:left="720" w:hanging="720"/>
      </w:pPr>
      <w:r>
        <w:rPr>
          <w:rFonts w:ascii="Times New Roman" w:hAnsi="Times New Roman" w:eastAsia="Times New Roman"/>
          <w:b w:val="0"/>
          <w:i w:val="0"/>
          <w:sz w:val="24"/>
        </w:rPr>
        <w:t>Baker, C. (2026). DX699O2 weekly analysis notebooks, Weeks 1–12 [Unpublished course work].</w:t>
      </w:r>
    </w:p>
    <w:p>
      <w:pPr>
        <w:widowControl/>
        <w:spacing w:line="480" w:lineRule="auto" w:after="0" w:before="0"/>
        <w:ind w:left="720" w:hanging="720"/>
      </w:pPr>
      <w:r>
        <w:rPr>
          <w:rFonts w:ascii="Times New Roman" w:hAnsi="Times New Roman" w:eastAsia="Times New Roman"/>
          <w:b w:val="0"/>
          <w:i w:val="0"/>
          <w:sz w:val="24"/>
        </w:rPr>
        <w:t xml:space="preserve">Consumer Financial Protection Bureau. (2022, May 26). Circular 2022-03: Adverse action notification requirements in connection with credit decisions based on complex algorithms. </w:t>
      </w:r>
      <w:hyperlink r:id="rId16">
        <w:r>
          <w:rPr>
            <w:rFonts w:ascii="Times New Roman" w:hAnsi="Times New Roman" w:eastAsia="Times New Roman"/>
            <w:sz w:val="24"/>
            <w:color w:val="1F4E79"/>
            <w:u w:val="single"/>
          </w:rPr>
          <w:t>CFPB circular</w:t>
        </w:r>
      </w:hyperlink>
    </w:p>
    <w:p>
      <w:pPr>
        <w:widowControl/>
        <w:spacing w:line="480" w:lineRule="auto" w:after="0" w:before="0"/>
        <w:ind w:left="720" w:hanging="720"/>
      </w:pPr>
      <w:r>
        <w:rPr>
          <w:rFonts w:ascii="Times New Roman" w:hAnsi="Times New Roman" w:eastAsia="Times New Roman"/>
          <w:b w:val="0"/>
          <w:i w:val="0"/>
          <w:sz w:val="24"/>
        </w:rPr>
        <w:t>Knaflic, C. N. (2015). Storytelling with data: A data visualization guide for business professionals. Wiley.</w:t>
      </w:r>
    </w:p>
    <w:p>
      <w:pPr>
        <w:widowControl/>
        <w:spacing w:line="480" w:lineRule="auto" w:after="0" w:before="0"/>
        <w:ind w:left="720" w:hanging="720"/>
      </w:pPr>
      <w:r>
        <w:rPr>
          <w:rFonts w:ascii="Times New Roman" w:hAnsi="Times New Roman" w:eastAsia="Times New Roman"/>
          <w:b w:val="0"/>
          <w:i w:val="0"/>
          <w:sz w:val="24"/>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widowControl/>
        <w:spacing w:line="480" w:lineRule="auto" w:after="0" w:before="0"/>
        <w:ind w:left="720" w:hanging="720"/>
      </w:pPr>
      <w:r>
        <w:rPr>
          <w:rFonts w:ascii="Times New Roman" w:hAnsi="Times New Roman" w:eastAsia="Times New Roman"/>
          <w:b w:val="0"/>
          <w:i w:val="0"/>
          <w:sz w:val="24"/>
        </w:rPr>
        <w:t>Scikit-learn developers. (2026). RandomForestClassifier, RandomizedSearchCV, and roc_auc_score [Documentation].</w:t>
      </w:r>
      <w:hyperlink r:id="rId17">
        <w:r>
          <w:rPr>
            <w:rFonts w:ascii="Times New Roman" w:hAnsi="Times New Roman" w:eastAsia="Times New Roman"/>
            <w:sz w:val="24"/>
            <w:color w:val="1F4E79"/>
            <w:u w:val="single"/>
          </w:rPr>
          <w:t>Random forest documentation</w:t>
        </w:r>
      </w:hyperlink>
    </w:p>
    <w:p>
      <w:pPr>
        <w:widowControl/>
        <w:spacing w:line="480" w:lineRule="auto" w:after="0" w:before="0"/>
        <w:ind w:left="720" w:hanging="720"/>
      </w:pPr>
      <w:r>
        <w:rPr>
          <w:rFonts w:ascii="Times New Roman" w:hAnsi="Times New Roman" w:eastAsia="Times New Roman"/>
          <w:b w:val="0"/>
          <w:i w:val="0"/>
          <w:sz w:val="24"/>
        </w:rPr>
        <w:t>Kaggle. (n.d.). Loan default dataset [Data set].</w:t>
      </w:r>
      <w:hyperlink r:id="rId18">
        <w:r>
          <w:rPr>
            <w:rFonts w:ascii="Times New Roman" w:hAnsi="Times New Roman" w:eastAsia="Times New Roman"/>
            <w:sz w:val="24"/>
            <w:color w:val="1F4E79"/>
            <w:u w:val="single"/>
          </w:rPr>
          <w:t>Dataset page</w:t>
        </w:r>
      </w:hyperlink>
    </w:p>
    <w:p>
      <w:pPr>
        <w:widowControl/>
        <w:spacing w:line="480" w:lineRule="auto" w:after="0" w:before="0"/>
        <w:ind w:left="720" w:hanging="720"/>
      </w:pPr>
      <w:r>
        <w:rPr>
          <w:rFonts w:ascii="Times New Roman" w:hAnsi="Times New Roman" w:eastAsia="Times New Roman"/>
          <w:b w:val="0"/>
          <w:i w:val="0"/>
          <w:sz w:val="24"/>
        </w:rPr>
        <w:t>Kaggle. (n.d.). All Lending Club loan data [Data set].</w:t>
      </w:r>
      <w:hyperlink r:id="rId19">
        <w:r>
          <w:rPr>
            <w:rFonts w:ascii="Times New Roman" w:hAnsi="Times New Roman" w:eastAsia="Times New Roman"/>
            <w:sz w:val="24"/>
            <w:color w:val="1F4E79"/>
            <w:u w:val="single"/>
          </w:rPr>
          <w:t>Dataset page</w:t>
        </w:r>
      </w:hyperlink>
    </w:p>
    <w:p>
      <w:pPr>
        <w:widowControl/>
        <w:spacing w:line="480" w:lineRule="auto" w:after="0" w:before="0"/>
        <w:ind w:left="720" w:hanging="720"/>
      </w:pPr>
      <w:r>
        <w:rPr>
          <w:rFonts w:ascii="Times New Roman" w:hAnsi="Times New Roman" w:eastAsia="Times New Roman"/>
          <w:b w:val="0"/>
          <w:i w:val="0"/>
          <w:sz w:val="24"/>
        </w:rPr>
        <w:t>Kaggle. (n.d.). Home Credit default risk [Data set].</w:t>
      </w:r>
      <w:hyperlink r:id="rId20">
        <w:r>
          <w:rPr>
            <w:rFonts w:ascii="Times New Roman" w:hAnsi="Times New Roman" w:eastAsia="Times New Roman"/>
            <w:sz w:val="24"/>
            <w:color w:val="1F4E79"/>
            <w:u w:val="single"/>
          </w:rPr>
          <w:t>Competition page</w:t>
        </w:r>
      </w:hyperlink>
    </w:p>
    <w:p>
      <w:r>
        <w:br w:type="page"/>
      </w:r>
    </w:p>
    <w:p>
      <w:pPr>
        <w:pStyle w:val="Heading1"/>
        <w:keepNext/>
        <w:widowControl/>
        <w:spacing w:line="480" w:lineRule="auto" w:after="0" w:before="0"/>
      </w:pPr>
      <w:r>
        <w:rPr>
          <w:rFonts w:ascii="Times New Roman" w:hAnsi="Times New Roman" w:eastAsia="Times New Roman"/>
          <w:b/>
          <w:i w:val="0"/>
          <w:sz w:val="24"/>
        </w:rPr>
        <w:t>7. AI Appendix</w:t>
      </w:r>
    </w:p>
    <w:p>
      <w:pPr>
        <w:pStyle w:val="Heading2"/>
        <w:keepNext/>
        <w:widowControl/>
        <w:spacing w:line="480" w:lineRule="auto" w:after="0" w:before="0"/>
      </w:pPr>
      <w:r>
        <w:rPr>
          <w:rFonts w:ascii="Times New Roman" w:hAnsi="Times New Roman" w:eastAsia="Times New Roman"/>
          <w:b/>
          <w:i/>
          <w:sz w:val="24"/>
        </w:rPr>
        <w:t>Prompt supplied to the AI</w:t>
      </w:r>
    </w:p>
    <w:p>
      <w:pPr>
        <w:widowControl/>
        <w:spacing w:line="480" w:lineRule="auto" w:after="0" w:before="0"/>
      </w:pPr>
      <w:r>
        <w:rPr>
          <w:rFonts w:ascii="Times New Roman" w:hAnsi="Times New Roman" w:eastAsia="Times New Roman"/>
          <w:b w:val="0"/>
          <w:i w:val="0"/>
          <w:sz w:val="24"/>
        </w:rPr>
        <w:t>“Can you now take what I have from weeks 1–7 and compile it into a Word doc according to this document? Make sure that I receive the highest grade you can and hit all rubric points.”</w:t>
      </w:r>
    </w:p>
    <w:p>
      <w:pPr>
        <w:pStyle w:val="Heading2"/>
        <w:keepNext/>
        <w:widowControl/>
        <w:spacing w:line="480" w:lineRule="auto" w:after="0" w:before="0"/>
      </w:pPr>
      <w:r>
        <w:rPr>
          <w:rFonts w:ascii="Times New Roman" w:hAnsi="Times New Roman" w:eastAsia="Times New Roman"/>
          <w:b/>
          <w:i/>
          <w:sz w:val="24"/>
        </w:rPr>
        <w:t>Representative AI output</w:t>
      </w:r>
    </w:p>
    <w:p>
      <w:pPr>
        <w:widowControl/>
        <w:spacing w:line="480" w:lineRule="auto" w:after="0" w:before="0"/>
      </w:pPr>
      <w:r>
        <w:rPr>
          <w:rFonts w:ascii="Times New Roman" w:hAnsi="Times New Roman" w:eastAsia="Times New Roman"/>
          <w:b w:val="0"/>
          <w:i w:val="0"/>
          <w:sz w:val="24"/>
        </w:rPr>
        <w:t>The AI mapped the paper to the rubric's required section labels, summarized the Week 1–7 progression, incorporated the existing Week 8–12 multivariate and random-forest work required by the final-project guidelines, generated publication-ready PCA, feature-importance, and risk-decile figures, and produced the formatted Word draft. It also reported the independently reproduced model results: mortgage test ROC AUC 0.723 and Lending Club test ROC AUC 0.698.</w:t>
      </w:r>
    </w:p>
    <w:p>
      <w:pPr>
        <w:pStyle w:val="Heading2"/>
        <w:keepNext/>
        <w:widowControl/>
        <w:spacing w:line="480" w:lineRule="auto" w:after="0" w:before="0"/>
      </w:pPr>
      <w:r>
        <w:rPr>
          <w:rFonts w:ascii="Times New Roman" w:hAnsi="Times New Roman" w:eastAsia="Times New Roman"/>
          <w:b/>
          <w:i/>
          <w:sz w:val="24"/>
        </w:rPr>
        <w:t>How the AI output was used</w:t>
      </w:r>
    </w:p>
    <w:p>
      <w:pPr>
        <w:widowControl/>
        <w:spacing w:line="480" w:lineRule="auto" w:after="0" w:before="0"/>
      </w:pPr>
      <w:r>
        <w:rPr>
          <w:rFonts w:ascii="Times New Roman" w:hAnsi="Times New Roman" w:eastAsia="Times New Roman"/>
          <w:b w:val="0"/>
          <w:i w:val="0"/>
          <w:sz w:val="24"/>
        </w:rPr>
        <w:t>AI assistance was used for rubric extraction, notebook inventory, structural editing, figure layout, code-based metric reproduction, citation organization, and Word formatting. The report does not treat AI prose as evidence. Numeric claims were checked against notebook outputs and re-fitted source-data models; discrepancies and limitations were retained, including the mortgage missingness/target coupling. The author remains responsible for verifying the submission, confirming individual-versus-team status, and ensuring that the disclosed use follows course policy.</w:t>
      </w:r>
    </w:p>
    <w:p>
      <w:pPr>
        <w:pStyle w:val="Heading2"/>
        <w:keepNext/>
        <w:widowControl/>
        <w:spacing w:line="480" w:lineRule="auto" w:after="0" w:before="0"/>
      </w:pPr>
      <w:r>
        <w:rPr>
          <w:rFonts w:ascii="Times New Roman" w:hAnsi="Times New Roman" w:eastAsia="Times New Roman"/>
          <w:b/>
          <w:i/>
          <w:sz w:val="24"/>
        </w:rPr>
        <w:t>Validation record</w:t>
      </w:r>
    </w:p>
    <w:p>
      <w:pPr>
        <w:pStyle w:val="ListBullet"/>
        <w:widowControl/>
        <w:spacing w:line="480" w:lineRule="auto" w:after="0" w:before="0"/>
        <w:ind w:left="360" w:hanging="259"/>
      </w:pPr>
      <w:r>
        <w:rPr>
          <w:rFonts w:ascii="Times New Roman" w:hAnsi="Times New Roman" w:eastAsia="Times New Roman"/>
          <w:sz w:val="24"/>
        </w:rPr>
        <w:t>Mortgage source: 148,670 rows; 24.6% overall default; 124,437 complete cases; 16.3% complete-case default.</w:t>
      </w:r>
    </w:p>
    <w:p>
      <w:pPr>
        <w:pStyle w:val="ListBullet"/>
        <w:widowControl/>
        <w:spacing w:line="480" w:lineRule="auto" w:after="0" w:before="0"/>
        <w:ind w:left="360" w:hanging="259"/>
      </w:pPr>
      <w:r>
        <w:rPr>
          <w:rFonts w:ascii="Times New Roman" w:hAnsi="Times New Roman" w:eastAsia="Times New Roman"/>
          <w:sz w:val="24"/>
        </w:rPr>
        <w:t>Mortgage missingness audit: property value and LTV are missing in 15,098 rows, and 99.99% of those rows have Status = 1; rate_of_interest missingness is perfectly coupled with Status = 1 in the supplied file.</w:t>
      </w:r>
    </w:p>
    <w:p>
      <w:pPr>
        <w:pStyle w:val="ListBullet"/>
        <w:widowControl/>
        <w:spacing w:line="480" w:lineRule="auto" w:after="0" w:before="0"/>
        <w:ind w:left="360" w:hanging="259"/>
      </w:pPr>
      <w:r>
        <w:rPr>
          <w:rFonts w:ascii="Times New Roman" w:hAnsi="Times New Roman" w:eastAsia="Times New Roman"/>
          <w:sz w:val="24"/>
        </w:rPr>
        <w:t>Held-out refit metrics matched Week 11 after rounding: mortgage AUC 0.723, accuracy 0.760, precision 0.345, recall 0.525; Lending AUC 0.698, accuracy 0.648, precision 0.215, recall 0.643.</w:t>
      </w:r>
    </w:p>
    <w:p>
      <w:r>
        <w:br w:type="page"/>
      </w:r>
    </w:p>
    <w:p>
      <w:pPr>
        <w:pStyle w:val="Heading1"/>
        <w:keepNext/>
        <w:widowControl/>
        <w:spacing w:line="480" w:lineRule="auto" w:after="0" w:before="0"/>
      </w:pPr>
      <w:r>
        <w:rPr>
          <w:rFonts w:ascii="Times New Roman" w:hAnsi="Times New Roman" w:eastAsia="Times New Roman"/>
          <w:b/>
          <w:i w:val="0"/>
          <w:sz w:val="24"/>
        </w:rPr>
        <w:t>8. Weekly graphs and homework assignments</w:t>
      </w:r>
    </w:p>
    <w:p>
      <w:pPr>
        <w:widowControl/>
        <w:spacing w:line="480" w:lineRule="auto" w:after="0" w:before="0"/>
      </w:pPr>
      <w:r>
        <w:rPr>
          <w:rFonts w:ascii="Times New Roman" w:hAnsi="Times New Roman" w:eastAsia="Times New Roman"/>
          <w:b w:val="0"/>
          <w:i w:val="0"/>
          <w:sz w:val="24"/>
        </w:rPr>
        <w:t>The following notebooks are companion deliverables and should be submitted with this paper. They contain the required graphs, calculations, model outputs, and written interpretations. The original notebooks remain in the project directory; the completed Week 12 submission copy preserves the original Week12.ipynb.</w:t>
      </w:r>
    </w:p>
    <w:p>
      <w:pPr>
        <w:widowControl/>
        <w:spacing w:line="480" w:lineRule="auto" w:after="0" w:before="0"/>
      </w:pPr>
      <w:r>
        <w:rPr>
          <w:rFonts w:ascii="Times New Roman" w:hAnsi="Times New Roman" w:eastAsia="Times New Roman"/>
          <w:b/>
          <w:sz w:val="24"/>
        </w:rPr>
        <w:t xml:space="preserve">Week 8 — Week8.ipynb. </w:t>
      </w:r>
      <w:r>
        <w:rPr>
          <w:rFonts w:ascii="Times New Roman" w:hAnsi="Times New Roman" w:eastAsia="Times New Roman"/>
          <w:sz w:val="24"/>
        </w:rPr>
        <w:t>Heatmaps, bubble plots, PCA, and multivariate exercises; completed outputs embedded.</w:t>
      </w:r>
    </w:p>
    <w:p>
      <w:pPr>
        <w:widowControl/>
        <w:spacing w:line="480" w:lineRule="auto" w:after="0" w:before="0"/>
      </w:pPr>
      <w:r>
        <w:rPr>
          <w:rFonts w:ascii="Times New Roman" w:hAnsi="Times New Roman" w:eastAsia="Times New Roman"/>
          <w:b/>
          <w:sz w:val="24"/>
        </w:rPr>
        <w:t xml:space="preserve">Week 9 — Week9CalvinBakerSubmission.ipynb. </w:t>
      </w:r>
      <w:r>
        <w:rPr>
          <w:rFonts w:ascii="Times New Roman" w:hAnsi="Times New Roman" w:eastAsia="Times New Roman"/>
          <w:sz w:val="24"/>
        </w:rPr>
        <w:t>Dataset heatmaps, bubbles, PCA, logistic comparisons, and story plots; completed.</w:t>
      </w:r>
    </w:p>
    <w:p>
      <w:pPr>
        <w:widowControl/>
        <w:spacing w:line="480" w:lineRule="auto" w:after="0" w:before="0"/>
      </w:pPr>
      <w:r>
        <w:rPr>
          <w:rFonts w:ascii="Times New Roman" w:hAnsi="Times New Roman" w:eastAsia="Times New Roman"/>
          <w:b/>
          <w:sz w:val="24"/>
        </w:rPr>
        <w:t xml:space="preserve">Week 10 — Week10.ipynb. </w:t>
      </w:r>
      <w:r>
        <w:rPr>
          <w:rFonts w:ascii="Times New Roman" w:hAnsi="Times New Roman" w:eastAsia="Times New Roman"/>
          <w:sz w:val="24"/>
        </w:rPr>
        <w:t>Cross-validation, model comparison, and fixed random forests; completed outputs embedded.</w:t>
      </w:r>
    </w:p>
    <w:p>
      <w:pPr>
        <w:widowControl/>
        <w:spacing w:line="480" w:lineRule="auto" w:after="0" w:before="0"/>
      </w:pPr>
      <w:r>
        <w:rPr>
          <w:rFonts w:ascii="Times New Roman" w:hAnsi="Times New Roman" w:eastAsia="Times New Roman"/>
          <w:b/>
          <w:sz w:val="24"/>
        </w:rPr>
        <w:t xml:space="preserve">Week 11 — Week11.ipynb. </w:t>
      </w:r>
      <w:r>
        <w:rPr>
          <w:rFonts w:ascii="Times New Roman" w:hAnsi="Times New Roman" w:eastAsia="Times New Roman"/>
          <w:sz w:val="24"/>
        </w:rPr>
        <w:t>Randomized tuning, held-out metrics, importances, and risk deciles; completed.</w:t>
      </w:r>
    </w:p>
    <w:p>
      <w:pPr>
        <w:widowControl/>
        <w:spacing w:line="480" w:lineRule="auto" w:after="0" w:before="0"/>
      </w:pPr>
      <w:r>
        <w:rPr>
          <w:rFonts w:ascii="Times New Roman" w:hAnsi="Times New Roman" w:eastAsia="Times New Roman"/>
          <w:b/>
          <w:sz w:val="24"/>
        </w:rPr>
        <w:t xml:space="preserve">Week 12 — Week12CalvinBakerSubmission.ipynb. </w:t>
      </w:r>
      <w:r>
        <w:rPr>
          <w:rFonts w:ascii="Times New Roman" w:hAnsi="Times New Roman" w:eastAsia="Times New Roman"/>
          <w:sz w:val="24"/>
        </w:rPr>
        <w:t>Graph comparison and Chapter 8 storytelling recreation; executed, original preserved.</w:t>
      </w:r>
    </w:p>
    <w:p>
      <w:r>
        <w:br w:type="page"/>
      </w:r>
    </w:p>
    <w:p>
      <w:pPr>
        <w:pStyle w:val="Heading2"/>
        <w:keepNext/>
        <w:widowControl/>
        <w:spacing w:line="480" w:lineRule="auto" w:after="0" w:before="0"/>
      </w:pPr>
      <w:r>
        <w:rPr>
          <w:rFonts w:ascii="Times New Roman" w:hAnsi="Times New Roman" w:eastAsia="Times New Roman"/>
          <w:b/>
          <w:i/>
          <w:sz w:val="24"/>
        </w:rPr>
        <w:t>Weeks 1–7 evidence carried into the final analysis</w:t>
      </w:r>
    </w:p>
    <w:tbl>
      <w:tblPr>
        <w:tblW w:type="auto" w:w="0"/>
        <w:jc w:val="center"/>
        <w:tblLook w:firstColumn="1" w:firstRow="1" w:lastColumn="0" w:lastRow="0" w:noHBand="0" w:noVBand="1" w:val="04A0"/>
        <w:tblBorders>
          <w:top w:val="single" w:sz="6" w:color="B7BDC7"/>
          <w:left w:val="single" w:sz="6" w:color="B7BDC7"/>
          <w:bottom w:val="single" w:sz="6" w:color="B7BDC7"/>
          <w:right w:val="single" w:sz="6" w:color="B7BDC7"/>
          <w:insideH w:val="single" w:sz="6" w:color="B7BDC7"/>
          <w:insideV w:val="single" w:sz="6" w:color="B7BDC7"/>
        </w:tblBorders>
      </w:tblPr>
      <w:tblGrid>
        <w:gridCol w:w="4680"/>
        <w:gridCol w:w="4680"/>
      </w:tblGrid>
      <w:tr>
        <w:tc>
          <w:tcPr>
            <w:tcW w:type="dxa" w:w="1296"/>
            <w:vAlign w:val="center"/>
            <w:shd w:fill="E8EEF7"/>
          </w:tcPr>
          <w:p>
            <w:pPr>
              <w:keepLines/>
              <w:widowControl/>
              <w:spacing w:line="480" w:lineRule="auto" w:after="0" w:before="0"/>
              <w:jc w:val="center"/>
            </w:pPr>
            <w:r/>
            <w:r>
              <w:rPr>
                <w:rFonts w:ascii="Times New Roman" w:hAnsi="Times New Roman" w:eastAsia="Times New Roman"/>
                <w:b/>
                <w:sz w:val="24"/>
              </w:rPr>
              <w:t>Week</w:t>
            </w:r>
          </w:p>
        </w:tc>
        <w:tc>
          <w:tcPr>
            <w:tcW w:type="dxa" w:w="8064"/>
            <w:vAlign w:val="center"/>
            <w:shd w:fill="E8EEF7"/>
          </w:tcPr>
          <w:p>
            <w:pPr>
              <w:keepLines/>
              <w:widowControl/>
              <w:spacing w:line="480" w:lineRule="auto" w:after="0" w:before="0"/>
              <w:jc w:val="center"/>
            </w:pPr>
            <w:r/>
            <w:r>
              <w:rPr>
                <w:rFonts w:ascii="Times New Roman" w:hAnsi="Times New Roman" w:eastAsia="Times New Roman"/>
                <w:b/>
                <w:sz w:val="24"/>
              </w:rPr>
              <w:t>Contribution</w:t>
            </w:r>
          </w:p>
        </w:tc>
      </w:tr>
      <w:tr>
        <w:tc>
          <w:tcPr>
            <w:tcW w:type="dxa" w:w="1296"/>
            <w:vAlign w:val="center"/>
          </w:tcPr>
          <w:p>
            <w:pPr>
              <w:keepLines/>
              <w:widowControl/>
              <w:spacing w:line="480" w:lineRule="auto" w:after="0" w:before="0"/>
              <w:jc w:val="center"/>
            </w:pPr>
            <w:r/>
            <w:r>
              <w:rPr>
                <w:rFonts w:ascii="Times New Roman" w:hAnsi="Times New Roman" w:eastAsia="Times New Roman"/>
                <w:b w:val="0"/>
                <w:sz w:val="24"/>
              </w:rPr>
              <w:t>Week 1</w:t>
            </w:r>
          </w:p>
        </w:tc>
        <w:tc>
          <w:tcPr>
            <w:tcW w:type="dxa" w:w="8064"/>
            <w:vAlign w:val="center"/>
          </w:tcPr>
          <w:p>
            <w:pPr>
              <w:keepLines/>
              <w:widowControl/>
              <w:spacing w:line="480" w:lineRule="auto" w:after="0" w:before="0"/>
              <w:jc w:val="left"/>
            </w:pPr>
            <w:r/>
            <w:r>
              <w:rPr>
                <w:rFonts w:ascii="Times New Roman" w:hAnsi="Times New Roman" w:eastAsia="Times New Roman"/>
                <w:b w:val="0"/>
                <w:sz w:val="24"/>
              </w:rPr>
              <w:t>Data cleaning, missingness, duplicates, encoding, and outlier checks</w:t>
            </w:r>
          </w:p>
        </w:tc>
      </w:tr>
      <w:tr>
        <w:tc>
          <w:tcPr>
            <w:tcW w:type="dxa" w:w="1296"/>
            <w:vAlign w:val="center"/>
          </w:tcPr>
          <w:p>
            <w:pPr>
              <w:keepLines/>
              <w:widowControl/>
              <w:spacing w:line="480" w:lineRule="auto" w:after="0" w:before="0"/>
              <w:jc w:val="center"/>
            </w:pPr>
            <w:r/>
            <w:r>
              <w:rPr>
                <w:rFonts w:ascii="Times New Roman" w:hAnsi="Times New Roman" w:eastAsia="Times New Roman"/>
                <w:b w:val="0"/>
                <w:sz w:val="24"/>
              </w:rPr>
              <w:t>Week 2</w:t>
            </w:r>
          </w:p>
        </w:tc>
        <w:tc>
          <w:tcPr>
            <w:tcW w:type="dxa" w:w="8064"/>
            <w:vAlign w:val="center"/>
          </w:tcPr>
          <w:p>
            <w:pPr>
              <w:keepLines/>
              <w:widowControl/>
              <w:spacing w:line="480" w:lineRule="auto" w:after="0" w:before="0"/>
              <w:jc w:val="left"/>
            </w:pPr>
            <w:r/>
            <w:r>
              <w:rPr>
                <w:rFonts w:ascii="Times New Roman" w:hAnsi="Times New Roman" w:eastAsia="Times New Roman"/>
                <w:b w:val="0"/>
                <w:sz w:val="24"/>
              </w:rPr>
              <w:t>Dataset selection, scale, outcome definitions, audience, and model plan</w:t>
            </w:r>
          </w:p>
        </w:tc>
      </w:tr>
      <w:tr>
        <w:tc>
          <w:tcPr>
            <w:tcW w:type="dxa" w:w="1296"/>
            <w:vAlign w:val="center"/>
          </w:tcPr>
          <w:p>
            <w:pPr>
              <w:keepLines/>
              <w:widowControl/>
              <w:spacing w:line="480" w:lineRule="auto" w:after="0" w:before="0"/>
              <w:jc w:val="center"/>
            </w:pPr>
            <w:r/>
            <w:r>
              <w:rPr>
                <w:rFonts w:ascii="Times New Roman" w:hAnsi="Times New Roman" w:eastAsia="Times New Roman"/>
                <w:b w:val="0"/>
                <w:sz w:val="24"/>
              </w:rPr>
              <w:t>Week 3</w:t>
            </w:r>
          </w:p>
        </w:tc>
        <w:tc>
          <w:tcPr>
            <w:tcW w:type="dxa" w:w="8064"/>
            <w:vAlign w:val="center"/>
          </w:tcPr>
          <w:p>
            <w:pPr>
              <w:keepLines/>
              <w:widowControl/>
              <w:spacing w:line="480" w:lineRule="auto" w:after="0" w:before="0"/>
              <w:jc w:val="left"/>
            </w:pPr>
            <w:r/>
            <w:r>
              <w:rPr>
                <w:rFonts w:ascii="Times New Roman" w:hAnsi="Times New Roman" w:eastAsia="Times New Roman"/>
                <w:b w:val="0"/>
                <w:sz w:val="24"/>
              </w:rPr>
              <w:t>Descriptive statistics and visualization practice</w:t>
            </w:r>
          </w:p>
        </w:tc>
      </w:tr>
      <w:tr>
        <w:tc>
          <w:tcPr>
            <w:tcW w:type="dxa" w:w="1296"/>
            <w:vAlign w:val="center"/>
          </w:tcPr>
          <w:p>
            <w:pPr>
              <w:keepLines/>
              <w:widowControl/>
              <w:spacing w:line="480" w:lineRule="auto" w:after="0" w:before="0"/>
              <w:jc w:val="center"/>
            </w:pPr>
            <w:r/>
            <w:r>
              <w:rPr>
                <w:rFonts w:ascii="Times New Roman" w:hAnsi="Times New Roman" w:eastAsia="Times New Roman"/>
                <w:b w:val="0"/>
                <w:sz w:val="24"/>
              </w:rPr>
              <w:t>Week 4</w:t>
            </w:r>
          </w:p>
        </w:tc>
        <w:tc>
          <w:tcPr>
            <w:tcW w:type="dxa" w:w="8064"/>
            <w:vAlign w:val="center"/>
          </w:tcPr>
          <w:p>
            <w:pPr>
              <w:keepLines/>
              <w:widowControl/>
              <w:spacing w:line="480" w:lineRule="auto" w:after="0" w:before="0"/>
              <w:jc w:val="left"/>
            </w:pPr>
            <w:r/>
            <w:r>
              <w:rPr>
                <w:rFonts w:ascii="Times New Roman" w:hAnsi="Times New Roman" w:eastAsia="Times New Roman"/>
                <w:b w:val="0"/>
                <w:sz w:val="24"/>
              </w:rPr>
              <w:t>Univariate distributions, skew, class imbalance, and outlier interpretation</w:t>
            </w:r>
          </w:p>
        </w:tc>
      </w:tr>
      <w:tr>
        <w:tc>
          <w:tcPr>
            <w:tcW w:type="dxa" w:w="1296"/>
            <w:vAlign w:val="center"/>
          </w:tcPr>
          <w:p>
            <w:pPr>
              <w:keepLines/>
              <w:widowControl/>
              <w:spacing w:line="480" w:lineRule="auto" w:after="0" w:before="0"/>
              <w:jc w:val="center"/>
            </w:pPr>
            <w:r/>
            <w:r>
              <w:rPr>
                <w:rFonts w:ascii="Times New Roman" w:hAnsi="Times New Roman" w:eastAsia="Times New Roman"/>
                <w:b w:val="0"/>
                <w:sz w:val="24"/>
              </w:rPr>
              <w:t>Week 5</w:t>
            </w:r>
          </w:p>
        </w:tc>
        <w:tc>
          <w:tcPr>
            <w:tcW w:type="dxa" w:w="8064"/>
            <w:vAlign w:val="center"/>
          </w:tcPr>
          <w:p>
            <w:pPr>
              <w:keepLines/>
              <w:widowControl/>
              <w:spacing w:line="480" w:lineRule="auto" w:after="0" w:before="0"/>
              <w:jc w:val="left"/>
            </w:pPr>
            <w:r/>
            <w:r>
              <w:rPr>
                <w:rFonts w:ascii="Times New Roman" w:hAnsi="Times New Roman" w:eastAsia="Times New Roman"/>
                <w:b w:val="0"/>
                <w:sz w:val="24"/>
              </w:rPr>
              <w:t>Visualization and analytic exercises supporting the project workflow</w:t>
            </w:r>
          </w:p>
        </w:tc>
      </w:tr>
      <w:tr>
        <w:tc>
          <w:tcPr>
            <w:tcW w:type="dxa" w:w="1296"/>
            <w:vAlign w:val="center"/>
          </w:tcPr>
          <w:p>
            <w:pPr>
              <w:keepLines/>
              <w:widowControl/>
              <w:spacing w:line="480" w:lineRule="auto" w:after="0" w:before="0"/>
              <w:jc w:val="center"/>
            </w:pPr>
            <w:r/>
            <w:r>
              <w:rPr>
                <w:rFonts w:ascii="Times New Roman" w:hAnsi="Times New Roman" w:eastAsia="Times New Roman"/>
                <w:b w:val="0"/>
                <w:sz w:val="24"/>
              </w:rPr>
              <w:t>Week 6</w:t>
            </w:r>
          </w:p>
        </w:tc>
        <w:tc>
          <w:tcPr>
            <w:tcW w:type="dxa" w:w="8064"/>
            <w:vAlign w:val="center"/>
          </w:tcPr>
          <w:p>
            <w:pPr>
              <w:keepLines/>
              <w:widowControl/>
              <w:spacing w:line="480" w:lineRule="auto" w:after="0" w:before="0"/>
              <w:jc w:val="left"/>
            </w:pPr>
            <w:r/>
            <w:r>
              <w:rPr>
                <w:rFonts w:ascii="Times New Roman" w:hAnsi="Times New Roman" w:eastAsia="Times New Roman"/>
                <w:b w:val="0"/>
                <w:sz w:val="24"/>
              </w:rPr>
              <w:t>Bivariate correlations, grouped default rates, redundancy, and time patterns</w:t>
            </w:r>
          </w:p>
        </w:tc>
      </w:tr>
      <w:tr>
        <w:tc>
          <w:tcPr>
            <w:tcW w:type="dxa" w:w="1296"/>
            <w:vAlign w:val="center"/>
          </w:tcPr>
          <w:p>
            <w:pPr>
              <w:keepLines/>
              <w:widowControl/>
              <w:spacing w:line="480" w:lineRule="auto" w:after="0" w:before="0"/>
              <w:jc w:val="center"/>
            </w:pPr>
            <w:r/>
            <w:r>
              <w:rPr>
                <w:rFonts w:ascii="Times New Roman" w:hAnsi="Times New Roman" w:eastAsia="Times New Roman"/>
                <w:b w:val="0"/>
                <w:sz w:val="24"/>
              </w:rPr>
              <w:t>Week 7</w:t>
            </w:r>
          </w:p>
        </w:tc>
        <w:tc>
          <w:tcPr>
            <w:tcW w:type="dxa" w:w="8064"/>
            <w:vAlign w:val="center"/>
          </w:tcPr>
          <w:p>
            <w:pPr>
              <w:keepLines/>
              <w:widowControl/>
              <w:spacing w:line="480" w:lineRule="auto" w:after="0" w:before="0"/>
              <w:jc w:val="left"/>
            </w:pPr>
            <w:r/>
            <w:r>
              <w:rPr>
                <w:rFonts w:ascii="Times New Roman" w:hAnsi="Times New Roman" w:eastAsia="Times New Roman"/>
                <w:b w:val="0"/>
                <w:sz w:val="24"/>
              </w:rPr>
              <w:t>Action-oriented LTV story graph: default risk jumps at 100%+ LTV</w:t>
            </w:r>
          </w:p>
        </w:tc>
      </w:tr>
    </w:tbl>
    <w:sectPr w:rsidR="00FC693F" w:rsidRPr="0006063C" w:rsidSect="00034616">
      <w:footerReference w:type="default" r:id="rId9"/>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line="240" w:lineRule="auto" w:after="0" w:before="0"/>
      <w:jc w:val="center"/>
    </w:pPr>
    <w:r>
      <w:rPr>
        <w:rFonts w:ascii="Times New Roman" w:hAnsi="Times New Roman" w:eastAsia="Times New Roman"/>
        <w:sz w:val="20"/>
      </w:rPr>
      <w:t xml:space="preserve">Calvin Baker | DX699O2 Final Project | Page </w:t>
    </w:r>
    <w:r>
      <w:rPr>
        <w:rFonts w:ascii="Times New Roman" w:hAnsi="Times New Roman" w:eastAsia="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480" w:lineRule="auto"/>
    </w:pPr>
    <w:rPr>
      <w:rFonts w:ascii="Times New Roman" w:hAnsi="Times New Roman" w:eastAsia="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www.consumerfinance.gov/compliance/circulars/circular-2022-03-adverse-action-notification-requirements-in-connection-with-credit-decisions-based-on-complex-algorithms/" TargetMode="External"/><Relationship Id="rId17" Type="http://schemas.openxmlformats.org/officeDocument/2006/relationships/hyperlink" Target="https://scikit-learn.org/stable/modules/generated/sklearn.ensemble.RandomForestClassifier.html" TargetMode="External"/><Relationship Id="rId18" Type="http://schemas.openxmlformats.org/officeDocument/2006/relationships/hyperlink" Target="https://www.kaggle.com/datasets/yasserh/loan-default-dataset" TargetMode="External"/><Relationship Id="rId19" Type="http://schemas.openxmlformats.org/officeDocument/2006/relationships/hyperlink" Target="https://www.kaggle.com/datasets/wordsforthewise/lending-club" TargetMode="External"/><Relationship Id="rId20" Type="http://schemas.openxmlformats.org/officeDocument/2006/relationships/hyperlink" Target="https://www.kaggle.com/competitions/home-credit-default-ri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Credit-Risk Segmentation and Predictive Modeling: Module B Capstone Proposal</dc:title>
  <dc:subject>DX699O2 Final Project, Summer 2026</dc:subject>
  <dc:creator>Calvin Baker</dc:creator>
  <cp:keywords/>
  <dc:description>generated by python-docx</dc:description>
  <cp:lastModifiedBy/>
  <cp:revision>1</cp:revision>
  <dcterms:created xsi:type="dcterms:W3CDTF">2013-12-23T23:15:00Z</dcterms:created>
  <dcterms:modified xsi:type="dcterms:W3CDTF">2013-12-23T23:15:00Z</dcterms:modified>
  <cp:category/>
</cp:coreProperties>
</file>