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NSE Automated Swing Trading &amp; Portfolio Management System</w:t>
      </w:r>
    </w:p>
    <w:p>
      <w:pPr>
        <w:spacing w:before="0" w:after="160"/>
      </w:pPr>
      <w:r>
        <w:rPr>
          <w:rFonts w:ascii="Calibri" w:hAnsi="Calibri"/>
          <w:b/>
          <w:color w:val="2E5B88"/>
          <w:sz w:val="26"/>
        </w:rPr>
        <w:t>Master Technical Architecture &amp; Operations Manual — System #2: Strategy v2 Optimized (2.5x Volume, 2x ATR &amp; 1.5% Risk)</w:t>
      </w:r>
    </w:p>
    <w:tbl>
      <w:tblPr>
        <w:tblW w:type="auto" w:w="0"/>
        <w:jc w:val="center"/>
        <w:tblLayout w:type="fixed"/>
        <w:tblLook w:firstColumn="1" w:firstRow="1" w:lastColumn="0" w:lastRow="0" w:noHBand="0" w:noVBand="1" w:val="04A0"/>
      </w:tblPr>
      <w:tblGrid>
        <w:gridCol w:w="9936"/>
      </w:tblGrid>
      <w:tr>
        <w:tc>
          <w:tcPr>
            <w:tcW w:type="dxa" w:w="9792"/>
            <w:shd w:fill="F4F7FA"/>
            <w:tcMar>
              <w:top w:w="140" w:type="dxa"/>
              <w:bottom w:w="140" w:type="dxa"/>
              <w:left w:w="200" w:type="dxa"/>
              <w:right w:w="200" w:type="dxa"/>
            </w:tcMar>
            <w:tcBorders>
              <w:left w:val="single" w:sz="24" w:space="0" w:color="2E5B88"/>
              <w:top w:val="none"/>
              <w:right w:val="none"/>
              <w:bottom w:val="none"/>
            </w:tcBorders>
          </w:tcPr>
          <w:p>
            <w:pPr>
              <w:spacing w:before="40" w:after="40" w:line="276" w:lineRule="auto"/>
            </w:pPr>
            <w:r>
              <w:rPr>
                <w:rFonts w:ascii="Calibri" w:hAnsi="Calibri"/>
                <w:b/>
                <w:i w:val="0"/>
                <w:color w:val="1B365D"/>
                <w:sz w:val="20"/>
              </w:rPr>
              <w:t xml:space="preserve">Production Version: </w:t>
            </w:r>
            <w:r>
              <w:rPr>
                <w:rFonts w:ascii="Calibri" w:hAnsi="Calibri"/>
                <w:b w:val="0"/>
                <w:i w:val="0"/>
                <w:color w:val="444444"/>
                <w:sz w:val="20"/>
              </w:rPr>
              <w:t xml:space="preserve">v2.0 Production Release   |   </w:t>
            </w:r>
            <w:r>
              <w:rPr>
                <w:rFonts w:ascii="Calibri" w:hAnsi="Calibri"/>
                <w:b/>
                <w:i w:val="0"/>
                <w:color w:val="1B365D"/>
                <w:sz w:val="20"/>
              </w:rPr>
              <w:t xml:space="preserve">Document ID: </w:t>
            </w:r>
            <w:r>
              <w:rPr>
                <w:rFonts w:ascii="Calibri" w:hAnsi="Calibri"/>
                <w:b w:val="0"/>
                <w:i w:val="0"/>
                <w:color w:val="444444"/>
                <w:sz w:val="20"/>
              </w:rPr>
              <w:t xml:space="preserve">DOC-NSE-SWING-P2-2026   |   </w:t>
            </w:r>
            <w:r>
              <w:rPr>
                <w:rFonts w:ascii="Calibri" w:hAnsi="Calibri"/>
                <w:b/>
                <w:i w:val="0"/>
                <w:color w:val="1B365D"/>
                <w:sz w:val="20"/>
              </w:rPr>
              <w:t xml:space="preserve">Branch: </w:t>
            </w:r>
            <w:r>
              <w:rPr>
                <w:rFonts w:ascii="Calibri" w:hAnsi="Calibri"/>
                <w:b w:val="0"/>
                <w:i w:val="0"/>
                <w:color w:val="444444"/>
                <w:sz w:val="20"/>
              </w:rPr>
              <w:t xml:space="preserve">strategy-2   |   </w:t>
            </w:r>
            <w:r>
              <w:rPr>
                <w:rFonts w:ascii="Calibri" w:hAnsi="Calibri"/>
                <w:b/>
                <w:i w:val="0"/>
                <w:color w:val="1B365D"/>
                <w:sz w:val="20"/>
              </w:rPr>
              <w:t xml:space="preserve">Target Platform: </w:t>
            </w:r>
            <w:r>
              <w:rPr>
                <w:rFonts w:ascii="Calibri" w:hAnsi="Calibri"/>
                <w:b w:val="0"/>
                <w:i w:val="0"/>
                <w:color w:val="444444"/>
                <w:sz w:val="20"/>
              </w:rPr>
              <w:t>Render Cloud + Google Sheets + DhanHQ + Telegram</w:t>
            </w:r>
          </w:p>
        </w:tc>
      </w:tr>
    </w:tbl>
    <w:p>
      <w:pPr>
        <w:spacing w:after="120"/>
      </w:pPr>
    </w:p>
    <w:p>
      <w:pPr>
        <w:keepNext/>
        <w:spacing w:before="320" w:after="120"/>
      </w:pPr>
      <w:r>
        <w:rPr>
          <w:rFonts w:ascii="Calibri" w:hAnsi="Calibri"/>
          <w:b/>
          <w:color w:val="1B365D"/>
          <w:sz w:val="30"/>
        </w:rPr>
        <w:t>1. Executive Summary &amp; System Architecture</w:t>
      </w:r>
    </w:p>
    <w:p>
      <w:pPr>
        <w:spacing w:before="20" w:after="80" w:line="276" w:lineRule="auto"/>
      </w:pPr>
      <w:r>
        <w:rPr>
          <w:rFonts w:ascii="Calibri" w:hAnsi="Calibri"/>
          <w:i w:val="0"/>
          <w:color w:val="222222"/>
          <w:sz w:val="20"/>
        </w:rPr>
        <w:t>The NSE Swing Trading &amp; Portfolio Management System is a stateful, event-driven quantitative trading engine engineered for high reliability, autonomous execution, and strict capital defense on the National Stock Exchange (NSE) of India. This document serves as the exhaustive technical specification and operational handbook for System #2: Strategy v2 Optimized (2.5x Volume, 2x ATR &amp; 1.5% Risk).</w:t>
      </w:r>
    </w:p>
    <w:p>
      <w:pPr>
        <w:spacing w:before="20" w:after="80" w:line="276" w:lineRule="auto"/>
      </w:pPr>
      <w:r>
        <w:rPr>
          <w:rFonts w:ascii="Calibri" w:hAnsi="Calibri"/>
          <w:i w:val="0"/>
          <w:color w:val="222222"/>
          <w:sz w:val="20"/>
        </w:rPr>
        <w:t>The system operates an automated pipeline orchestrated via LangGraph, uniting four deterministic processing nodes within a single unified cycle: real-time portfolio synchronization, systematic breakout screening, quantitative position sizing, and multi-channel trade execution.</w:t>
      </w:r>
    </w:p>
    <w:p>
      <w:pPr>
        <w:keepNext/>
        <w:spacing w:before="240" w:after="80"/>
      </w:pPr>
      <w:r>
        <w:rPr>
          <w:rFonts w:ascii="Calibri" w:hAnsi="Calibri"/>
          <w:b/>
          <w:color w:val="2E5B88"/>
          <w:sz w:val="24"/>
        </w:rPr>
        <w:t>Core Architectural Characteristics</w:t>
      </w:r>
    </w:p>
    <w:p>
      <w:pPr>
        <w:pStyle w:val="ListBullet"/>
        <w:spacing w:before="20" w:after="60" w:line="276" w:lineRule="auto"/>
      </w:pPr>
      <w:r>
        <w:rPr>
          <w:rFonts w:ascii="Calibri" w:hAnsi="Calibri"/>
          <w:b/>
          <w:color w:val="1B365D"/>
          <w:sz w:val="19"/>
        </w:rPr>
        <w:t>LangGraph State Machine Engine:</w:t>
      </w:r>
      <w:r>
        <w:rPr>
          <w:rFonts w:ascii="Calibri" w:hAnsi="Calibri"/>
          <w:color w:val="222222"/>
          <w:sz w:val="19"/>
        </w:rPr>
        <w:t xml:space="preserve"> Coordinates state across Portfolio Sync, Market Screener, Position Sizer, and Trade Executor nodes.</w:t>
      </w:r>
    </w:p>
    <w:p>
      <w:pPr>
        <w:pStyle w:val="ListBullet"/>
        <w:spacing w:before="20" w:after="60" w:line="276" w:lineRule="auto"/>
      </w:pPr>
      <w:r>
        <w:rPr>
          <w:rFonts w:ascii="Calibri" w:hAnsi="Calibri"/>
          <w:b/>
          <w:color w:val="1B365D"/>
          <w:sz w:val="19"/>
        </w:rPr>
        <w:t>Dual Broker &amp; Data Feed Architecture:</w:t>
      </w:r>
      <w:r>
        <w:rPr>
          <w:rFonts w:ascii="Calibri" w:hAnsi="Calibri"/>
          <w:color w:val="222222"/>
          <w:sz w:val="19"/>
        </w:rPr>
        <w:t xml:space="preserve"> Connects directly to DhanHQ API ('dhanhq') with in-memory caching of Dhan NSE Scrip Master for low-latency tick data (LTP), automatically falling back to Yahoo Finance ('yfinance') if credentials or network are interrupted.</w:t>
      </w:r>
    </w:p>
    <w:p>
      <w:pPr>
        <w:pStyle w:val="ListBullet"/>
        <w:spacing w:before="20" w:after="60" w:line="276" w:lineRule="auto"/>
      </w:pPr>
      <w:r>
        <w:rPr>
          <w:rFonts w:ascii="Calibri" w:hAnsi="Calibri"/>
          <w:b/>
          <w:color w:val="1B365D"/>
          <w:sz w:val="19"/>
        </w:rPr>
        <w:t>Lightweight Single-Container Runtime:</w:t>
      </w:r>
      <w:r>
        <w:rPr>
          <w:rFonts w:ascii="Calibri" w:hAnsi="Calibri"/>
          <w:color w:val="222222"/>
          <w:sz w:val="19"/>
        </w:rPr>
        <w:t xml:space="preserve"> A Streamlit interactive analytics dashboard and an interactive Python-Telegram Bot run concurrently inside a single lightweight Render web container, protected by an automatic watchdog supervisor.</w:t>
      </w:r>
    </w:p>
    <w:p>
      <w:pPr>
        <w:pStyle w:val="ListBullet"/>
        <w:spacing w:before="20" w:after="60" w:line="276" w:lineRule="auto"/>
      </w:pPr>
      <w:r>
        <w:rPr>
          <w:rFonts w:ascii="Calibri" w:hAnsi="Calibri"/>
          <w:b/>
          <w:color w:val="1B365D"/>
          <w:sz w:val="19"/>
        </w:rPr>
        <w:t>Google Sheets Relational Cloud Database:</w:t>
      </w:r>
      <w:r>
        <w:rPr>
          <w:rFonts w:ascii="Calibri" w:hAnsi="Calibri"/>
          <w:color w:val="222222"/>
          <w:sz w:val="19"/>
        </w:rPr>
        <w:t xml:space="preserve"> Employs Google Sheets ('NSE_Swing_Trading_Portfolio_2') as a serverless relational database with exponential backoff retries handling Google API 429 quota rate limits.</w:t>
      </w:r>
    </w:p>
    <w:p>
      <w:pPr>
        <w:pStyle w:val="ListBullet"/>
        <w:spacing w:before="20" w:after="60" w:line="276" w:lineRule="auto"/>
      </w:pPr>
      <w:r>
        <w:rPr>
          <w:rFonts w:ascii="Calibri" w:hAnsi="Calibri"/>
          <w:b/>
          <w:color w:val="1B365D"/>
          <w:sz w:val="19"/>
        </w:rPr>
        <w:t>Gemini 3.6-Flash Market Sentiment Engine:</w:t>
      </w:r>
      <w:r>
        <w:rPr>
          <w:rFonts w:ascii="Calibri" w:hAnsi="Calibri"/>
          <w:color w:val="222222"/>
          <w:sz w:val="19"/>
        </w:rPr>
        <w:t xml:space="preserve"> Integrates dual-tier global macroeconomic synthesis (US Wall Street, Fed rate path, Crude Oil, DXY) and Indian domestic market analysis (Nifty 50, Bank Nifty, FII/DII liquidity) combined with Gemini 3.6-flash to deliver actionable color-coded trading guardrails.</w:t>
      </w:r>
    </w:p>
    <w:p>
      <w:pPr>
        <w:keepNext/>
        <w:spacing w:before="320" w:after="120"/>
      </w:pPr>
      <w:r>
        <w:rPr>
          <w:rFonts w:ascii="Calibri" w:hAnsi="Calibri"/>
          <w:b/>
          <w:color w:val="1B365D"/>
          <w:sz w:val="30"/>
        </w:rPr>
        <w:t>2. Quantitative Strategy &amp; Execution Rules</w:t>
      </w:r>
    </w:p>
    <w:p>
      <w:pPr>
        <w:spacing w:before="20" w:after="80" w:line="276" w:lineRule="auto"/>
      </w:pPr>
      <w:r>
        <w:rPr>
          <w:rFonts w:ascii="Calibri" w:hAnsi="Calibri"/>
          <w:i w:val="0"/>
          <w:color w:val="222222"/>
          <w:sz w:val="20"/>
        </w:rPr>
        <w:t>System #2 executes the Strategy v2 Optimized Breakout System with 1.5% capital risk, 2.5x volume threshold, 2×ATR volatility-adaptive stop loss, and sector concentration limits:</w:t>
      </w:r>
    </w:p>
    <w:p>
      <w:pPr>
        <w:pStyle w:val="ListBullet"/>
        <w:spacing w:before="20" w:after="60" w:line="276" w:lineRule="auto"/>
      </w:pPr>
      <w:r>
        <w:rPr>
          <w:rFonts w:ascii="Calibri" w:hAnsi="Calibri"/>
          <w:b/>
          <w:color w:val="1B365D"/>
          <w:sz w:val="19"/>
        </w:rPr>
        <w:t>Universe Definition:</w:t>
      </w:r>
      <w:r>
        <w:rPr>
          <w:rFonts w:ascii="Calibri" w:hAnsi="Calibri"/>
          <w:color w:val="222222"/>
          <w:sz w:val="19"/>
        </w:rPr>
        <w:t>Constituents of the Nifty 50 index, downloaded dynamically from the official NSE India Archives (ind_nifty50list.csv) with .NS symbol suffixes.</w:t>
      </w:r>
    </w:p>
    <w:p>
      <w:pPr>
        <w:pStyle w:val="ListBullet"/>
        <w:spacing w:before="20" w:after="60" w:line="276" w:lineRule="auto"/>
      </w:pPr>
      <w:r>
        <w:rPr>
          <w:rFonts w:ascii="Calibri" w:hAnsi="Calibri"/>
          <w:b/>
          <w:color w:val="1B365D"/>
          <w:sz w:val="19"/>
        </w:rPr>
        <w:t>Price Breakout Rule:</w:t>
      </w:r>
      <w:r>
        <w:rPr>
          <w:rFonts w:ascii="Calibri" w:hAnsi="Calibri"/>
          <w:color w:val="222222"/>
          <w:sz w:val="19"/>
        </w:rPr>
        <w:t>Today's Close &gt; Today's 20-day Simple Moving Average (20 SMA) AND Yesterday's Close &lt;= Yesterday's 20-day SMA.</w:t>
      </w:r>
    </w:p>
    <w:p>
      <w:pPr>
        <w:pStyle w:val="ListBullet"/>
        <w:spacing w:before="20" w:after="60" w:line="276" w:lineRule="auto"/>
      </w:pPr>
      <w:r>
        <w:rPr>
          <w:rFonts w:ascii="Calibri" w:hAnsi="Calibri"/>
          <w:b/>
          <w:color w:val="1B365D"/>
          <w:sz w:val="19"/>
        </w:rPr>
        <w:t>Volume Expansion Rule:</w:t>
      </w:r>
      <w:r>
        <w:rPr>
          <w:rFonts w:ascii="Calibri" w:hAnsi="Calibri"/>
          <w:color w:val="222222"/>
          <w:sz w:val="19"/>
        </w:rPr>
        <w:t>Today's Volume &gt; 2.5 * 20-day Volume SMA (minimum 250% surge to aggressively filter false breakouts).</w:t>
      </w:r>
    </w:p>
    <w:p>
      <w:pPr>
        <w:pStyle w:val="ListBullet"/>
        <w:spacing w:before="20" w:after="60" w:line="276" w:lineRule="auto"/>
      </w:pPr>
      <w:r>
        <w:rPr>
          <w:rFonts w:ascii="Calibri" w:hAnsi="Calibri"/>
          <w:b/>
          <w:color w:val="1B365D"/>
          <w:sz w:val="19"/>
        </w:rPr>
        <w:t>Momentum RSI Filter:</w:t>
      </w:r>
      <w:r>
        <w:rPr>
          <w:rFonts w:ascii="Calibri" w:hAnsi="Calibri"/>
          <w:color w:val="222222"/>
          <w:sz w:val="19"/>
        </w:rPr>
        <w:t>14-period Wilder's Smoothed Relative Strength Index (RSI) between 50 and 70 (ensures upward momentum while rejecting overbought conditions).</w:t>
      </w:r>
    </w:p>
    <w:p>
      <w:pPr>
        <w:pStyle w:val="ListBullet"/>
        <w:spacing w:before="20" w:after="60" w:line="276" w:lineRule="auto"/>
      </w:pPr>
      <w:r>
        <w:rPr>
          <w:rFonts w:ascii="Calibri" w:hAnsi="Calibri"/>
          <w:b/>
          <w:color w:val="1B365D"/>
          <w:sz w:val="19"/>
        </w:rPr>
        <w:t>Initial Stop Loss:</w:t>
      </w:r>
      <w:r>
        <w:rPr>
          <w:rFonts w:ascii="Calibri" w:hAnsi="Calibri"/>
          <w:color w:val="222222"/>
          <w:sz w:val="19"/>
        </w:rPr>
        <w:t>Volatility-Adaptive 2× ATR(14) below Entry Price, protected with a 20 SMA floor clamp: max(20 SMA, Entry - 2*ATR). This dynamic stop adapts precisely to individual stock volatility.</w:t>
      </w:r>
    </w:p>
    <w:p>
      <w:pPr>
        <w:pStyle w:val="ListBullet"/>
        <w:spacing w:before="20" w:after="60" w:line="276" w:lineRule="auto"/>
      </w:pPr>
      <w:r>
        <w:rPr>
          <w:rFonts w:ascii="Calibri" w:hAnsi="Calibri"/>
          <w:b/>
          <w:color w:val="1B365D"/>
          <w:sz w:val="19"/>
        </w:rPr>
        <w:t>Position Sizing Formula:</w:t>
      </w:r>
      <w:r>
        <w:rPr>
          <w:rFonts w:ascii="Calibri" w:hAnsi="Calibri"/>
          <w:color w:val="222222"/>
          <w:sz w:val="19"/>
        </w:rPr>
        <w:t>Exactly 1.5% of Total Portfolio Value risked per trade: Quantity = floor((Total Portfolio Value * 0.015) / (2 * ATR(14))).</w:t>
      </w:r>
    </w:p>
    <w:p>
      <w:pPr>
        <w:pStyle w:val="ListBullet"/>
        <w:spacing w:before="20" w:after="60" w:line="276" w:lineRule="auto"/>
      </w:pPr>
      <w:r>
        <w:rPr>
          <w:rFonts w:ascii="Calibri" w:hAnsi="Calibri"/>
          <w:b/>
          <w:color w:val="1B365D"/>
          <w:sz w:val="19"/>
        </w:rPr>
        <w:t>Sector Diversification Limit:</w:t>
      </w:r>
      <w:r>
        <w:rPr>
          <w:rFonts w:ascii="Calibri" w:hAnsi="Calibri"/>
          <w:color w:val="222222"/>
          <w:sz w:val="19"/>
        </w:rPr>
        <w:t>Strict ceiling of maximum 3 open positions per economic sector (e.g. Financial Services, IT, Auto, Oil &amp; Gas) to prevent correlated sector drawdowns.</w:t>
      </w:r>
    </w:p>
    <w:p>
      <w:pPr>
        <w:pStyle w:val="ListBullet"/>
        <w:spacing w:before="20" w:after="60" w:line="276" w:lineRule="auto"/>
      </w:pPr>
      <w:r>
        <w:rPr>
          <w:rFonts w:ascii="Calibri" w:hAnsi="Calibri"/>
          <w:b/>
          <w:color w:val="1B365D"/>
          <w:sz w:val="19"/>
        </w:rPr>
        <w:t>Profit Target:</w:t>
      </w:r>
      <w:r>
        <w:rPr>
          <w:rFonts w:ascii="Calibri" w:hAnsi="Calibri"/>
          <w:color w:val="222222"/>
          <w:sz w:val="19"/>
        </w:rPr>
        <w:t>Target = Entry Price + 2 * (Entry Price - Initial SL) providing an asymmetrical 1:2 Risk-to-Reward profile.</w:t>
      </w:r>
    </w:p>
    <w:p>
      <w:pPr>
        <w:pStyle w:val="ListBullet"/>
        <w:spacing w:before="20" w:after="60" w:line="276" w:lineRule="auto"/>
      </w:pPr>
      <w:r>
        <w:rPr>
          <w:rFonts w:ascii="Calibri" w:hAnsi="Calibri"/>
          <w:b/>
          <w:color w:val="1B365D"/>
          <w:sz w:val="19"/>
        </w:rPr>
        <w:t>Dynamic Trailing Stop:</w:t>
      </w:r>
      <w:r>
        <w:rPr>
          <w:rFonts w:ascii="Calibri" w:hAnsi="Calibri"/>
          <w:color w:val="222222"/>
          <w:sz w:val="19"/>
        </w:rPr>
        <w:t>20-day Exponential Moving Average (20 EMA). If 20 EMA &gt; Current SL, Stop Loss is ratcheted upward to 20 EMA. Stop Loss strictly moves upward and never downward.</w:t>
      </w:r>
    </w:p>
    <w:p>
      <w:pPr>
        <w:keepNext/>
        <w:spacing w:before="320" w:after="120"/>
      </w:pPr>
      <w:r>
        <w:rPr>
          <w:rFonts w:ascii="Calibri" w:hAnsi="Calibri"/>
          <w:b/>
          <w:color w:val="1B365D"/>
          <w:sz w:val="30"/>
        </w:rPr>
        <w:t>3. Global &amp; Indian Market Sentiment Analysis &amp; Guardrails</w:t>
      </w:r>
    </w:p>
    <w:p>
      <w:pPr>
        <w:spacing w:before="20" w:after="80" w:line="276" w:lineRule="auto"/>
      </w:pPr>
      <w:r>
        <w:rPr>
          <w:rFonts w:ascii="Calibri" w:hAnsi="Calibri"/>
          <w:i w:val="0"/>
          <w:color w:val="222222"/>
          <w:sz w:val="20"/>
        </w:rPr>
        <w:t>Rather than relying on isolated stock headlines, the system deploys a comprehensive dual-layer Market Sentiment Analyzer powered by Google News RSS feeds and Google Gemini 3.6-flash. It synthesizes macroeconomic trends and company-specific news into clear operational guardrails.</w:t>
      </w:r>
    </w:p>
    <w:p>
      <w:pPr>
        <w:keepNext/>
        <w:spacing w:before="240" w:after="80"/>
      </w:pPr>
      <w:r>
        <w:rPr>
          <w:rFonts w:ascii="Calibri" w:hAnsi="Calibri"/>
          <w:b/>
          <w:color w:val="2E5B88"/>
          <w:sz w:val="24"/>
        </w:rPr>
        <w:t>Macroeconomic Ingestion Scope</w:t>
      </w:r>
    </w:p>
    <w:p>
      <w:pPr>
        <w:pStyle w:val="ListBullet"/>
        <w:spacing w:before="20" w:after="60" w:line="276" w:lineRule="auto"/>
      </w:pPr>
      <w:r>
        <w:rPr>
          <w:rFonts w:ascii="Calibri" w:hAnsi="Calibri"/>
          <w:b/>
          <w:color w:val="1B365D"/>
          <w:sz w:val="19"/>
        </w:rPr>
        <w:t>Global Macro Intelligence:</w:t>
      </w:r>
      <w:r>
        <w:rPr>
          <w:rFonts w:ascii="Calibri" w:hAnsi="Calibri"/>
          <w:color w:val="222222"/>
          <w:sz w:val="19"/>
        </w:rPr>
        <w:t>US Markets (S&amp;P 500, Nasdaq 100), US Federal Reserve interest rate policy, 10-Year US Treasury yields, Brent/WTI Crude Oil, US Dollar Index (DXY), and global geopolitical conflicts.</w:t>
      </w:r>
    </w:p>
    <w:p>
      <w:pPr>
        <w:pStyle w:val="ListBullet"/>
        <w:spacing w:before="20" w:after="60" w:line="276" w:lineRule="auto"/>
      </w:pPr>
      <w:r>
        <w:rPr>
          <w:rFonts w:ascii="Calibri" w:hAnsi="Calibri"/>
          <w:b/>
          <w:color w:val="1B365D"/>
          <w:sz w:val="19"/>
        </w:rPr>
        <w:t>Indian Domestic Intelligence:</w:t>
      </w:r>
      <w:r>
        <w:rPr>
          <w:rFonts w:ascii="Calibri" w:hAnsi="Calibri"/>
          <w:color w:val="222222"/>
          <w:sz w:val="19"/>
        </w:rPr>
        <w:t>Nifty 50, Bank Nifty, FII &amp; DII net institutional liquidity flows, Reserve Bank of India (RBI) MPC announcements, and Rupee stability (USD/INR).</w:t>
      </w:r>
    </w:p>
    <w:p>
      <w:pPr>
        <w:pStyle w:val="ListBullet"/>
        <w:spacing w:before="20" w:after="60" w:line="276" w:lineRule="auto"/>
      </w:pPr>
      <w:r>
        <w:rPr>
          <w:rFonts w:ascii="Calibri" w:hAnsi="Calibri"/>
          <w:b/>
          <w:color w:val="1B365D"/>
          <w:sz w:val="19"/>
        </w:rPr>
        <w:t>Multi-Source Financial Ingestion:</w:t>
      </w:r>
      <w:r>
        <w:rPr>
          <w:rFonts w:ascii="Calibri" w:hAnsi="Calibri"/>
          <w:color w:val="222222"/>
          <w:sz w:val="19"/>
        </w:rPr>
        <w:t>Scrapes 35+ top business headlines from premier financial portals including Moneycontrol, Economic Times, Livemint, NDTV Profit, and Reuters.</w:t>
      </w:r>
    </w:p>
    <w:p>
      <w:pPr>
        <w:keepNext/>
        <w:spacing w:before="240" w:after="80"/>
      </w:pPr>
      <w:r>
        <w:rPr>
          <w:rFonts w:ascii="Calibri" w:hAnsi="Calibri"/>
          <w:b/>
          <w:color w:val="2E5B88"/>
          <w:sz w:val="24"/>
        </w:rPr>
        <w:t>Color-Coded Actionable Guardrail Directives</w:t>
      </w:r>
    </w:p>
    <w:p>
      <w:pPr>
        <w:spacing w:before="20" w:after="80" w:line="276" w:lineRule="auto"/>
      </w:pPr>
      <w:r>
        <w:rPr>
          <w:rFonts w:ascii="Calibri" w:hAnsi="Calibri"/>
          <w:i w:val="0"/>
          <w:color w:val="222222"/>
          <w:sz w:val="20"/>
        </w:rPr>
        <w:t>The Market Sentiment Engine categorizes market regimes into three distinct operational states: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State</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Market Sentiment Cues</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Breakout Entries Action</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Holding Defense Action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ALLOW (Risk-On)</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Bullish or stable global/domestic cues, strong institutional inflows, positive corporate earnings.</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Full capacity: Up to 3 breakout buys per day permitted.</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Standard 20 EMA trailing stop loss policy active.</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 SELECTIVE (Caution)</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Elevated volatility, mixed macro indicators, rangebound indices, foreign institutional selling.</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Selective capacity: Max 1 high-conviction breakout buy per day. Requires pristine volume surge.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Monitor closely; tighter trailing stops enforced on vulnerable positions.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HALT (Risk-Off)</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Severe macro shocks, sharp Wall Street sell-offs, geopolitical escalation, crude oil spike, or panic.</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Zero capacity: All new breakout entries strictly HALTED (0 buys) for capital preservation.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Holding Defense: Trailing stops on all open holdings tightened to Today's Low.</w:t>
            </w:r>
          </w:p>
        </w:tc>
      </w:tr>
    </w:tbl>
    <w:p>
      <w:pPr>
        <w:spacing w:after="80"/>
      </w:pPr>
    </w:p>
    <w:p>
      <w:pPr>
        <w:spacing w:before="20" w:after="80" w:line="276" w:lineRule="auto"/>
      </w:pPr>
      <w:r>
        <w:rPr>
          <w:rFonts w:ascii="Calibri" w:hAnsi="Calibri"/>
          <w:i w:val="0"/>
          <w:color w:val="222222"/>
          <w:sz w:val="20"/>
        </w:rPr>
        <w:t>Micro Stock-Level Sentiment: For each candidate breakout stock or open holding, the analyzer extracts recent company news. If micro sentiment is assessed as NEGATIVE (e.g., regulatory sanction, major governance dispute, sharp earnings miss), the screener automatically discards the candidate or tightens the open holding's stop loss to Today's Low.</w:t>
      </w:r>
    </w:p>
    <w:p>
      <w:pPr>
        <w:keepNext/>
        <w:spacing w:before="320" w:after="120"/>
      </w:pPr>
      <w:r>
        <w:rPr>
          <w:rFonts w:ascii="Calibri" w:hAnsi="Calibri"/>
          <w:b/>
          <w:color w:val="1B365D"/>
          <w:sz w:val="30"/>
        </w:rPr>
        <w:t>4. Comprehensive System Guardrails Matrix</w:t>
      </w:r>
    </w:p>
    <w:p>
      <w:pPr>
        <w:spacing w:before="20" w:after="80" w:line="276" w:lineRule="auto"/>
      </w:pPr>
      <w:r>
        <w:rPr>
          <w:rFonts w:ascii="Calibri" w:hAnsi="Calibri"/>
          <w:i w:val="0"/>
          <w:color w:val="222222"/>
          <w:sz w:val="20"/>
        </w:rPr>
        <w:t>The table below enumerates the multi-tier safety architecture protecting capital, preventing runaway loops, and ensuring container resilience: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Name</w:t>
            </w:r>
          </w:p>
        </w:tc>
        <w:tc>
          <w:tcPr>
            <w:tcW w:type="dxa" w:w="1584"/>
            <w:shd w:fill="1B365D"/>
            <w:tcMar>
              <w:top w:w="120" w:type="dxa"/>
              <w:bottom w:w="120" w:type="dxa"/>
              <w:left w:w="140" w:type="dxa"/>
              <w:right w:w="140" w:type="dxa"/>
            </w:tcMar>
          </w:tcPr>
          <w:p>
            <w:pPr>
              <w:spacing w:before="40" w:after="40"/>
            </w:pPr>
            <w:r>
              <w:rPr>
                <w:rFonts w:ascii="Calibri" w:hAnsi="Calibri"/>
                <w:b/>
                <w:color w:val="FFFFFF"/>
                <w:sz w:val="19"/>
              </w:rPr>
              <w:t>System Scope</w:t>
            </w:r>
          </w:p>
        </w:tc>
        <w:tc>
          <w:tcPr>
            <w:tcW w:type="dxa" w:w="3600"/>
            <w:shd w:fill="1B365D"/>
            <w:tcMar>
              <w:top w:w="120" w:type="dxa"/>
              <w:bottom w:w="120" w:type="dxa"/>
              <w:left w:w="140" w:type="dxa"/>
              <w:right w:w="140" w:type="dxa"/>
            </w:tcMar>
          </w:tcPr>
          <w:p>
            <w:pPr>
              <w:spacing w:before="40" w:after="40"/>
            </w:pPr>
            <w:r>
              <w:rPr>
                <w:rFonts w:ascii="Calibri" w:hAnsi="Calibri"/>
                <w:b/>
                <w:color w:val="FFFFFF"/>
                <w:sz w:val="19"/>
              </w:rPr>
              <w:t>Operational Rule</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Risk Mitigated</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DhanHQ Fallback Engine</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Data Feed</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Auto-switch to yfinance if token expires, invalid, or API times out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Zero downtime; prevents screener and sync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Double Buy Blocker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Rejects purchasing candidates with existing OPEN positions in Google Sheets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single-stock over-concentration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Max Portfolio Allocation</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Limits aggregate open positions value to 90% of Total Portfolio Value</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Guarantees a permanent 10% cash buffer for risk control</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Daily Purchase Limit</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Maximum 3 breakout buys per daily scanning cycle (highest volume ratio first)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capital depletion on runaway multi-breakout days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Sector Concentration Limit</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Portfolio / Sizer</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Maximum 3 open positions per sector</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correlated sector drawdown</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Stop Loss Bloat Guard</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Rejects candidates if Initial Stop Loss distance &gt; 15% of Entry Price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high-drawdown trades with excessive risk</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Penny Stock Filter</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Discards any stock with price &lt; ₹20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Filters out illiquid micro-caps and pump-and-dump targets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Liquidity Volume Filter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Discards any stock with 20-day Volume SMA &lt; 50,000 shares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slippage traps and illiquid trading halts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Market Sentiment Guardrails</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Macro / Micro</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Evaluates Global/Indian cues; executes HALT/SELECTIVE/ALLOW &amp; Day's Low SL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Protects capital from broad market sell-offs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Google Sheets 429 Retry</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Database</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Exponential sleep backoff (2s, 4s, 8s) on Google Sheets 429 rate limit errors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quota exhaustion crashes during rapid updates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Memory Leak Guard</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Runtime</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threads=False in yfinance, TZ cache defaults, explicit gc.collect()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Render 512MB RAM container out-of-memory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Self-Healing Supervisor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Process / Cloud</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start.sh restart loop recovering from Telegram 409 conflict errors in 5s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Guarantees zero-downtime rolling deploys and process recovery</w:t>
            </w:r>
          </w:p>
        </w:tc>
      </w:tr>
    </w:tbl>
    <w:p>
      <w:pPr>
        <w:keepNext/>
        <w:spacing w:before="320" w:after="120"/>
      </w:pPr>
      <w:r>
        <w:rPr>
          <w:rFonts w:ascii="Calibri" w:hAnsi="Calibri"/>
          <w:b/>
          <w:color w:val="1B365D"/>
          <w:sz w:val="30"/>
        </w:rPr>
        <w:t>5. Google Sheets Relational Database Architecture</w:t>
      </w:r>
    </w:p>
    <w:p>
      <w:pPr>
        <w:spacing w:before="20" w:after="80" w:line="276" w:lineRule="auto"/>
      </w:pPr>
      <w:r>
        <w:rPr>
          <w:rFonts w:ascii="Calibri" w:hAnsi="Calibri"/>
          <w:i w:val="0"/>
          <w:color w:val="222222"/>
          <w:sz w:val="20"/>
        </w:rPr>
        <w:t>The cloud database resides within Google Sheets under the workbook name 'NSE_Swing_Trading_Portfolio_2'. The schema consists of four relational worksheets:</w:t>
      </w:r>
    </w:p>
    <w:p>
      <w:pPr>
        <w:keepNext/>
        <w:spacing w:before="240" w:after="80"/>
      </w:pPr>
      <w:r>
        <w:rPr>
          <w:rFonts w:ascii="Calibri" w:hAnsi="Calibri"/>
          <w:b/>
          <w:color w:val="2E5B88"/>
          <w:sz w:val="24"/>
        </w:rPr>
        <w:t>Worksheet 1: 'Holdings' (14 Relational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 Index</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Header Name</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Data Type</w:t>
            </w:r>
          </w:p>
        </w:tc>
        <w:tc>
          <w:tcPr>
            <w:tcW w:type="dxa" w:w="4608"/>
            <w:shd w:fill="1B365D"/>
            <w:tcMar>
              <w:top w:w="120" w:type="dxa"/>
              <w:bottom w:w="120" w:type="dxa"/>
              <w:left w:w="140" w:type="dxa"/>
              <w:right w:w="140" w:type="dxa"/>
            </w:tcMar>
          </w:tcPr>
          <w:p>
            <w:pPr>
              <w:spacing w:before="40" w:after="40"/>
            </w:pPr>
            <w:r>
              <w:rPr>
                <w:rFonts w:ascii="Calibri" w:hAnsi="Calibri"/>
                <w:b/>
                <w:color w:val="FFFFFF"/>
                <w:sz w:val="19"/>
              </w:rPr>
              <w:t>Description &amp; Business Logic</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Ticker</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NSE ticker with .NS suffix (e.g. RELIANCE.NS, TCS.NS)</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Entry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breakout position was opened</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Execution price at time of purchase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Quantity</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Integer</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Number of shares allocated based on risk formula</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5</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Value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Quantity * Entry Price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6</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Initial SL</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Stop loss calculated at entry (20 SMA for P1, 2x ATR for P2)</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7</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Current SL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Trailing stop loss (ratcheted upward to 20 EMA)</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8</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Target</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Profit target based on 1:2 Risk-to-Reward ratio</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9</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Position state: OPEN or CLOSED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10</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position was closed (or blank if OPEN)</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Exit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exit price from live feed or AMO execution</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Value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Quantity * Exit Price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PnL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profit/loss in INR (Exit Value - Entry Value)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Reason</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Reason: Target Hit, Stop Loss Hit, or Manual Exit</w:t>
            </w:r>
          </w:p>
        </w:tc>
      </w:tr>
    </w:tbl>
    <w:p>
      <w:pPr>
        <w:keepNext/>
        <w:spacing w:before="240" w:after="80"/>
      </w:pPr>
      <w:r>
        <w:rPr>
          <w:rFonts w:ascii="Calibri" w:hAnsi="Calibri"/>
          <w:b/>
          <w:color w:val="2E5B88"/>
          <w:sz w:val="24"/>
        </w:rPr>
        <w:t>Worksheet 2: 'Account' (2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880"/>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Default Value</w:t>
            </w:r>
          </w:p>
        </w:tc>
        <w:tc>
          <w:tcPr>
            <w:tcW w:type="dxa" w:w="4752"/>
            <w:shd w:fill="1B365D"/>
            <w:tcMar>
              <w:top w:w="120" w:type="dxa"/>
              <w:bottom w:w="120" w:type="dxa"/>
              <w:left w:w="140" w:type="dxa"/>
              <w:right w:w="140" w:type="dxa"/>
            </w:tcMar>
          </w:tcPr>
          <w:p>
            <w:pPr>
              <w:spacing w:before="40" w:after="40"/>
            </w:pPr>
            <w:r>
              <w:rPr>
                <w:rFonts w:ascii="Calibri" w:hAnsi="Calibri"/>
                <w:b/>
                <w:color w:val="FFFFFF"/>
                <w:sz w:val="19"/>
              </w:rPr>
              <w:t>Description</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Total Portfolio Value</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4752"/>
            <w:shd w:fill="F7F9FB"/>
            <w:tcMar>
              <w:top w:w="80" w:type="dxa"/>
              <w:bottom w:w="80" w:type="dxa"/>
              <w:left w:w="140" w:type="dxa"/>
              <w:right w:w="140" w:type="dxa"/>
            </w:tcMar>
          </w:tcPr>
          <w:p>
            <w:pPr>
              <w:spacing w:before="40" w:after="40" w:line="269" w:lineRule="auto"/>
            </w:pPr>
            <w:r>
              <w:rPr>
                <w:rFonts w:ascii="Calibri" w:hAnsi="Calibri"/>
                <w:color w:val="222222"/>
                <w:sz w:val="18"/>
              </w:rPr>
              <w:t>Sum of Cash Balance + Current Market Value of Open Positions</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Cash Balance</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4752"/>
            <w:shd w:fill="FFFFFF"/>
            <w:tcMar>
              <w:top w:w="80" w:type="dxa"/>
              <w:bottom w:w="80" w:type="dxa"/>
              <w:left w:w="140" w:type="dxa"/>
              <w:right w:w="140" w:type="dxa"/>
            </w:tcMar>
          </w:tcPr>
          <w:p>
            <w:pPr>
              <w:spacing w:before="40" w:after="40" w:line="269" w:lineRule="auto"/>
            </w:pPr>
            <w:r>
              <w:rPr>
                <w:rFonts w:ascii="Calibri" w:hAnsi="Calibri"/>
                <w:color w:val="222222"/>
                <w:sz w:val="18"/>
              </w:rPr>
              <w:t>Liquid unallocated capital available for purchasing new breakouts</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Risk Percent</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0.015 (1.5%)</w:t>
            </w:r>
          </w:p>
        </w:tc>
        <w:tc>
          <w:tcPr>
            <w:tcW w:type="dxa" w:w="4752"/>
            <w:shd w:fill="F7F9FB"/>
            <w:tcMar>
              <w:top w:w="80" w:type="dxa"/>
              <w:bottom w:w="80" w:type="dxa"/>
              <w:left w:w="140" w:type="dxa"/>
              <w:right w:w="140" w:type="dxa"/>
            </w:tcMar>
          </w:tcPr>
          <w:p>
            <w:pPr>
              <w:spacing w:before="40" w:after="40" w:line="269" w:lineRule="auto"/>
            </w:pPr>
            <w:r>
              <w:rPr>
                <w:rFonts w:ascii="Calibri" w:hAnsi="Calibri"/>
                <w:color w:val="222222"/>
                <w:sz w:val="18"/>
              </w:rPr>
              <w:t>Percentage of Total Portfolio Value risked per single trade setup</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Initial Capital</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4752"/>
            <w:shd w:fill="FFFFFF"/>
            <w:tcMar>
              <w:top w:w="80" w:type="dxa"/>
              <w:bottom w:w="80" w:type="dxa"/>
              <w:left w:w="140" w:type="dxa"/>
              <w:right w:w="140" w:type="dxa"/>
            </w:tcMar>
          </w:tcPr>
          <w:p>
            <w:pPr>
              <w:spacing w:before="40" w:after="40" w:line="269" w:lineRule="auto"/>
            </w:pPr>
            <w:r>
              <w:rPr>
                <w:rFonts w:ascii="Calibri" w:hAnsi="Calibri"/>
                <w:color w:val="222222"/>
                <w:sz w:val="18"/>
              </w:rPr>
              <w:t>Baseline reference for Total Return %, CAGR %, and XIRR % calculations</w:t>
            </w:r>
          </w:p>
        </w:tc>
      </w:tr>
    </w:tbl>
    <w:p>
      <w:pPr>
        <w:keepNext/>
        <w:spacing w:before="240" w:after="80"/>
      </w:pPr>
      <w:r>
        <w:rPr>
          <w:rFonts w:ascii="Calibri" w:hAnsi="Calibri"/>
          <w:b/>
          <w:color w:val="2E5B88"/>
          <w:sz w:val="24"/>
        </w:rPr>
        <w:t>Worksheet 3: 'TelegramChats' (1 Column)</w:t>
      </w:r>
    </w:p>
    <w:p>
      <w:pPr>
        <w:spacing w:before="20" w:after="80" w:line="276" w:lineRule="auto"/>
      </w:pPr>
      <w:r>
        <w:rPr>
          <w:rFonts w:ascii="Calibri" w:hAnsi="Calibri"/>
          <w:i w:val="0"/>
          <w:color w:val="222222"/>
          <w:sz w:val="20"/>
        </w:rPr>
        <w:t>Contains registered Telegram 'ChatID' entries. Whenever an authorized user activates the bot via /start or /menu, their Chat ID is persisted to ensure uninterrupted delivery of automated scan reports and exit alerts.</w:t>
      </w:r>
    </w:p>
    <w:p>
      <w:pPr>
        <w:keepNext/>
        <w:spacing w:before="240" w:after="80"/>
      </w:pPr>
      <w:r>
        <w:rPr>
          <w:rFonts w:ascii="Calibri" w:hAnsi="Calibri"/>
          <w:b/>
          <w:color w:val="2E5B88"/>
          <w:sz w:val="24"/>
        </w:rPr>
        <w:t>Worksheet 4: 'Schedules' (6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Type</w:t>
            </w:r>
          </w:p>
        </w:tc>
        <w:tc>
          <w:tcPr>
            <w:tcW w:type="dxa" w:w="4320"/>
            <w:shd w:fill="1B365D"/>
            <w:tcMar>
              <w:top w:w="120" w:type="dxa"/>
              <w:bottom w:w="120" w:type="dxa"/>
              <w:left w:w="140" w:type="dxa"/>
              <w:right w:w="140" w:type="dxa"/>
            </w:tcMar>
          </w:tcPr>
          <w:p>
            <w:pPr>
              <w:spacing w:before="40" w:after="40"/>
            </w:pPr>
            <w:r>
              <w:rPr>
                <w:rFonts w:ascii="Calibri" w:hAnsi="Calibri"/>
                <w:b/>
                <w:color w:val="FFFFFF"/>
                <w:sz w:val="19"/>
              </w:rPr>
              <w:t>Description &amp; Usage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Date &amp; Time</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 / IST Time</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Recurrence rule (DAILY, WEEKDAYS, TODAY) and target 24h IST time (e.g. 09:00, 15:25, 18:30)</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Mode</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Scan type: EXECUTE (auto order entry), PREVIEW (paper signal report), or SENTIMENT (AI briefing)</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Job status: ACTIVE (recurring), PENDING (one-off), RUNNING, COMPLETED, or PAUSED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5-6</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Last Run &amp; Notes</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Timestamp &amp; Notes</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Auto-logged execution timestamp (IST) and optional specific stock target or portfolio note</w:t>
            </w:r>
          </w:p>
        </w:tc>
      </w:tr>
    </w:tbl>
    <w:p>
      <w:pPr>
        <w:keepNext/>
        <w:spacing w:before="320" w:after="120"/>
      </w:pPr>
      <w:r>
        <w:rPr>
          <w:rFonts w:ascii="Calibri" w:hAnsi="Calibri"/>
          <w:b/>
          <w:color w:val="1B365D"/>
          <w:sz w:val="30"/>
        </w:rPr>
        <w:t>6. Interactive Telegram Bot &amp; Scheduling Engine</w:t>
      </w:r>
    </w:p>
    <w:p>
      <w:pPr>
        <w:spacing w:before="20" w:after="80" w:line="276" w:lineRule="auto"/>
      </w:pPr>
      <w:r>
        <w:rPr>
          <w:rFonts w:ascii="Calibri" w:hAnsi="Calibri"/>
          <w:i w:val="0"/>
          <w:color w:val="222222"/>
          <w:sz w:val="20"/>
        </w:rPr>
        <w:t>The Telegram Bot (@ai_swing_trade_2_bot) serves as an interactive command center, providing real-time portfolio oversight, on-demand market screening, automated trade execution, and AI sentiment briefings.</w:t>
      </w:r>
    </w:p>
    <w:p>
      <w:pPr>
        <w:keepNext/>
        <w:spacing w:before="240" w:after="80"/>
      </w:pPr>
      <w:r>
        <w:rPr>
          <w:rFonts w:ascii="Calibri" w:hAnsi="Calibri"/>
          <w:b/>
          <w:color w:val="2E5B88"/>
          <w:sz w:val="24"/>
        </w:rPr>
        <w:t>Interactive 6-Button Quick Action Touch Menu</w:t>
      </w:r>
    </w:p>
    <w:p>
      <w:pPr>
        <w:spacing w:before="20" w:after="80" w:line="276" w:lineRule="auto"/>
      </w:pPr>
      <w:r>
        <w:rPr>
          <w:rFonts w:ascii="Calibri" w:hAnsi="Calibri"/>
          <w:i w:val="0"/>
          <w:color w:val="222222"/>
          <w:sz w:val="20"/>
        </w:rPr>
        <w:t>Clicking /menu renders a 6-button touch keypad for zero-friction mobile execution:</w:t>
      </w:r>
    </w:p>
    <w:tbl>
      <w:tblPr>
        <w:tblW w:type="auto" w:w="0"/>
        <w:jc w:val="center"/>
        <w:tblLayout w:type="fixed"/>
        <w:tblLook w:firstColumn="1" w:firstRow="1" w:lastColumn="0" w:lastRow="0" w:noHBand="0" w:noVBand="1" w:val="04A0"/>
      </w:tblPr>
      <w:tblGrid>
        <w:gridCol w:w="9936"/>
      </w:tblGrid>
      <w:tr>
        <w:tc>
          <w:tcPr>
            <w:tcW w:type="dxa" w:w="9792"/>
            <w:shd w:fill="EBF2F8"/>
            <w:tcMar>
              <w:top w:w="140" w:type="dxa"/>
              <w:bottom w:w="140" w:type="dxa"/>
              <w:left w:w="200" w:type="dxa"/>
              <w:right w:w="200" w:type="dxa"/>
            </w:tcMar>
            <w:tcBorders>
              <w:left w:val="single" w:sz="24" w:space="0" w:color="1B365D"/>
              <w:top w:val="none"/>
              <w:right w:val="none"/>
              <w:bottom w:val="none"/>
            </w:tcBorders>
          </w:tcPr>
          <w:p>
            <w:pPr>
              <w:spacing w:before="40" w:after="40" w:line="276" w:lineRule="auto"/>
            </w:pPr>
            <w:r>
              <w:rPr>
                <w:rFonts w:ascii="Calibri" w:hAnsi="Calibri"/>
                <w:b/>
                <w:i w:val="0"/>
                <w:color w:val="1B365D"/>
                <w:sz w:val="20"/>
              </w:rPr>
              <w:t>[🔍 Run Market Scan]               [🌐 Market Sentiment]</w:t>
              <w:br/>
            </w:r>
            <w:r>
              <w:rPr>
                <w:rFonts w:ascii="Calibri" w:hAnsi="Calibri"/>
                <w:b/>
                <w:i w:val="0"/>
                <w:color w:val="1B365D"/>
                <w:sz w:val="20"/>
              </w:rPr>
              <w:t>[📈 Open Positions]                [🏦 Portfolio Summary]</w:t>
              <w:br/>
            </w:r>
            <w:r>
              <w:rPr>
                <w:rFonts w:ascii="Calibri" w:hAnsi="Calibri"/>
                <w:b/>
                <w:i w:val="0"/>
                <w:color w:val="1B365D"/>
                <w:sz w:val="20"/>
              </w:rPr>
              <w:t>[📅 Scan Schedules]                [🤝 Trade History]</w:t>
            </w:r>
          </w:p>
        </w:tc>
      </w:tr>
    </w:tbl>
    <w:p>
      <w:pPr>
        <w:spacing w:after="120"/>
      </w:pPr>
    </w:p>
    <w:p>
      <w:pPr>
        <w:keepNext/>
        <w:spacing w:before="240" w:after="80"/>
      </w:pPr>
      <w:r>
        <w:rPr>
          <w:rFonts w:ascii="Calibri" w:hAnsi="Calibri"/>
          <w:b/>
          <w:color w:val="2E5B88"/>
          <w:sz w:val="24"/>
        </w:rPr>
        <w:t>Telegram Command Reference</w:t>
      </w:r>
    </w:p>
    <w:p>
      <w:pPr>
        <w:pStyle w:val="ListBullet"/>
        <w:spacing w:before="20" w:after="60" w:line="276" w:lineRule="auto"/>
      </w:pPr>
      <w:r>
        <w:rPr>
          <w:rFonts w:ascii="Calibri" w:hAnsi="Calibri"/>
          <w:b/>
          <w:color w:val="1B365D"/>
          <w:sz w:val="19"/>
        </w:rPr>
        <w:t>/menu :</w:t>
      </w:r>
      <w:r>
        <w:rPr>
          <w:rFonts w:ascii="Calibri" w:hAnsi="Calibri"/>
          <w:color w:val="222222"/>
          <w:sz w:val="19"/>
        </w:rPr>
        <w:t>Displays the interactive 6-button quick action touchpad.</w:t>
      </w:r>
    </w:p>
    <w:p>
      <w:pPr>
        <w:pStyle w:val="ListBullet"/>
        <w:spacing w:before="20" w:after="60" w:line="276" w:lineRule="auto"/>
      </w:pPr>
      <w:r>
        <w:rPr>
          <w:rFonts w:ascii="Calibri" w:hAnsi="Calibri"/>
          <w:b/>
          <w:color w:val="1B365D"/>
          <w:sz w:val="19"/>
        </w:rPr>
        <w:t>/scan :</w:t>
      </w:r>
      <w:r>
        <w:rPr>
          <w:rFonts w:ascii="Calibri" w:hAnsi="Calibri"/>
          <w:color w:val="222222"/>
          <w:sz w:val="19"/>
        </w:rPr>
        <w:t>Runs immediate breakout screener in Preview Mode. If market is open, provides interactive buttons to confirm and execute market orders. If market is closed or weekend, provides AMO (After-Market Order) execution buttons.</w:t>
      </w:r>
    </w:p>
    <w:p>
      <w:pPr>
        <w:pStyle w:val="ListBullet"/>
        <w:spacing w:before="20" w:after="60" w:line="276" w:lineRule="auto"/>
      </w:pPr>
      <w:r>
        <w:rPr>
          <w:rFonts w:ascii="Calibri" w:hAnsi="Calibri"/>
          <w:b/>
          <w:color w:val="1B365D"/>
          <w:sz w:val="19"/>
        </w:rPr>
        <w:t>/news [or /sentiment] :</w:t>
      </w:r>
      <w:r>
        <w:rPr>
          <w:rFonts w:ascii="Calibri" w:hAnsi="Calibri"/>
          <w:color w:val="222222"/>
          <w:sz w:val="19"/>
        </w:rPr>
        <w:t>Generates Gemini 3.6-flash Market Sentiment and Macro Guardrails report for active open holdings or benchmark Nifty 50. Accepts optional ticker argument (e.g. /news RELIANCE, /news TATAMOTORS).</w:t>
      </w:r>
    </w:p>
    <w:p>
      <w:pPr>
        <w:pStyle w:val="ListBullet"/>
        <w:spacing w:before="20" w:after="60" w:line="276" w:lineRule="auto"/>
      </w:pPr>
      <w:r>
        <w:rPr>
          <w:rFonts w:ascii="Calibri" w:hAnsi="Calibri"/>
          <w:b/>
          <w:color w:val="1B365D"/>
          <w:sz w:val="19"/>
        </w:rPr>
        <w:t>/positions :</w:t>
      </w:r>
      <w:r>
        <w:rPr>
          <w:rFonts w:ascii="Calibri" w:hAnsi="Calibri"/>
          <w:color w:val="222222"/>
          <w:sz w:val="19"/>
        </w:rPr>
        <w:t>Lists all open positions with real-time DhanHQ/Yahoo tick prices, official Company Names, Sector, SL, Target, and Unrealized PnL.</w:t>
      </w:r>
    </w:p>
    <w:p>
      <w:pPr>
        <w:pStyle w:val="ListBullet"/>
        <w:spacing w:before="20" w:after="60" w:line="276" w:lineRule="auto"/>
      </w:pPr>
      <w:r>
        <w:rPr>
          <w:rFonts w:ascii="Calibri" w:hAnsi="Calibri"/>
          <w:b/>
          <w:color w:val="1B365D"/>
          <w:sz w:val="19"/>
        </w:rPr>
        <w:t>/summary :</w:t>
      </w:r>
      <w:r>
        <w:rPr>
          <w:rFonts w:ascii="Calibri" w:hAnsi="Calibri"/>
          <w:color w:val="222222"/>
          <w:sz w:val="19"/>
        </w:rPr>
        <w:t>Displays comprehensive financial summary: Total Value, Cash Balance, Realized PnL, Win Rate %, Total Return %, CAGR %, and XIRR %.</w:t>
      </w:r>
    </w:p>
    <w:p>
      <w:pPr>
        <w:pStyle w:val="ListBullet"/>
        <w:spacing w:before="20" w:after="60" w:line="276" w:lineRule="auto"/>
      </w:pPr>
      <w:r>
        <w:rPr>
          <w:rFonts w:ascii="Calibri" w:hAnsi="Calibri"/>
          <w:b/>
          <w:color w:val="1B365D"/>
          <w:sz w:val="19"/>
        </w:rPr>
        <w:t>/history :</w:t>
      </w:r>
      <w:r>
        <w:rPr>
          <w:rFonts w:ascii="Calibri" w:hAnsi="Calibri"/>
          <w:color w:val="222222"/>
          <w:sz w:val="19"/>
        </w:rPr>
        <w:t>Lists all completed trades with full Company Names, Entry/Exit prices, Realized PnL (₹), and PnL %.</w:t>
      </w:r>
    </w:p>
    <w:p>
      <w:pPr>
        <w:pStyle w:val="ListBullet"/>
        <w:spacing w:before="20" w:after="60" w:line="276" w:lineRule="auto"/>
      </w:pPr>
      <w:r>
        <w:rPr>
          <w:rFonts w:ascii="Calibri" w:hAnsi="Calibri"/>
          <w:b/>
          <w:color w:val="1B365D"/>
          <w:sz w:val="19"/>
        </w:rPr>
        <w:t>/schedules :</w:t>
      </w:r>
      <w:r>
        <w:rPr>
          <w:rFonts w:ascii="Calibri" w:hAnsi="Calibri"/>
          <w:color w:val="222222"/>
          <w:sz w:val="19"/>
        </w:rPr>
        <w:t>Displays all Google Sheets automated dynamic scan and sentiment schedules with target times and live DUE status.</w:t>
      </w:r>
    </w:p>
    <w:p>
      <w:pPr>
        <w:pStyle w:val="ListBullet"/>
        <w:spacing w:before="20" w:after="60" w:line="276" w:lineRule="auto"/>
      </w:pPr>
      <w:r>
        <w:rPr>
          <w:rFonts w:ascii="Calibri" w:hAnsi="Calibri"/>
          <w:b/>
          <w:color w:val="1B365D"/>
          <w:sz w:val="19"/>
        </w:rPr>
        <w:t>/start :</w:t>
      </w:r>
      <w:r>
        <w:rPr>
          <w:rFonts w:ascii="Calibri" w:hAnsi="Calibri"/>
          <w:color w:val="222222"/>
          <w:sz w:val="19"/>
        </w:rPr>
        <w:t>Welcomes user and registers Chat ID into Google Sheets TelegramChats table.</w:t>
      </w:r>
    </w:p>
    <w:p>
      <w:pPr>
        <w:keepNext/>
        <w:spacing w:before="240" w:after="80"/>
      </w:pPr>
      <w:r>
        <w:rPr>
          <w:rFonts w:ascii="Calibri" w:hAnsi="Calibri"/>
          <w:b/>
          <w:color w:val="2E5B88"/>
          <w:sz w:val="24"/>
        </w:rPr>
        <w:t>Automated Background Scheduling Suite</w:t>
      </w:r>
    </w:p>
    <w:p>
      <w:pPr>
        <w:pStyle w:val="ListBullet"/>
        <w:spacing w:before="20" w:after="60" w:line="276" w:lineRule="auto"/>
      </w:pPr>
      <w:r>
        <w:rPr>
          <w:rFonts w:ascii="Calibri" w:hAnsi="Calibri"/>
          <w:b/>
          <w:color w:val="1B365D"/>
          <w:sz w:val="19"/>
        </w:rPr>
        <w:t>Dynamic Google Sheets Scheduler:</w:t>
      </w:r>
      <w:r>
        <w:rPr>
          <w:rFonts w:ascii="Calibri" w:hAnsi="Calibri"/>
          <w:color w:val="222222"/>
          <w:sz w:val="19"/>
        </w:rPr>
        <w:t>Polls the Google Sheets 'Schedules' tab every 60 seconds. Automatically triggers due scans, executions, or sentiment briefings based on current IST time.</w:t>
      </w:r>
    </w:p>
    <w:p>
      <w:pPr>
        <w:pStyle w:val="ListBullet"/>
        <w:spacing w:before="20" w:after="60" w:line="276" w:lineRule="auto"/>
      </w:pPr>
      <w:r>
        <w:rPr>
          <w:rFonts w:ascii="Calibri" w:hAnsi="Calibri"/>
          <w:b/>
          <w:color w:val="1B365D"/>
          <w:sz w:val="19"/>
        </w:rPr>
        <w:t>Scheduled Daily Scan (3:25 PM IST Mon–Fri):</w:t>
      </w:r>
      <w:r>
        <w:rPr>
          <w:rFonts w:ascii="Calibri" w:hAnsi="Calibri"/>
          <w:color w:val="222222"/>
          <w:sz w:val="19"/>
        </w:rPr>
        <w:t>Executes daily breakout screening and order placements into 'NSE_Swing_Trading_Portfolio_2'. Broadcasts full execution report to registered Telegram chats.</w:t>
      </w:r>
    </w:p>
    <w:p>
      <w:pPr>
        <w:pStyle w:val="ListBullet"/>
        <w:spacing w:before="20" w:after="60" w:line="276" w:lineRule="auto"/>
      </w:pPr>
      <w:r>
        <w:rPr>
          <w:rFonts w:ascii="Calibri" w:hAnsi="Calibri"/>
          <w:b/>
          <w:color w:val="1B365D"/>
          <w:sz w:val="19"/>
        </w:rPr>
        <w:t>Intraday Market Sync (Every 5 min):</w:t>
      </w:r>
      <w:r>
        <w:rPr>
          <w:rFonts w:ascii="Calibri" w:hAnsi="Calibri"/>
          <w:color w:val="222222"/>
          <w:sz w:val="19"/>
        </w:rPr>
        <w:t>Syncs live quotes every 5 minutes during market hours (9:15 AM – 3:30 PM IST), ratchets trailing stop losses upward to 20 EMA, evaluates target/stop exits, and sends instant alert notifications.</w:t>
      </w:r>
    </w:p>
    <w:p>
      <w:pPr>
        <w:pStyle w:val="ListBullet"/>
        <w:spacing w:before="20" w:after="60" w:line="276" w:lineRule="auto"/>
      </w:pPr>
      <w:r>
        <w:rPr>
          <w:rFonts w:ascii="Calibri" w:hAnsi="Calibri"/>
          <w:b/>
          <w:color w:val="1B365D"/>
          <w:sz w:val="19"/>
        </w:rPr>
        <w:t>Render Cloud Keep-Alive Heartbeat:</w:t>
      </w:r>
      <w:r>
        <w:rPr>
          <w:rFonts w:ascii="Calibri" w:hAnsi="Calibri"/>
          <w:color w:val="222222"/>
          <w:sz w:val="19"/>
        </w:rPr>
        <w:t>Automated background loop pings 'https://ai-swing-trade-2.onrender.com/_stcore/health' every 9 minutes to keep the Render web service warm and eliminate cold-start latencies.</w:t>
      </w:r>
    </w:p>
    <w:p>
      <w:pPr>
        <w:keepNext/>
        <w:spacing w:before="320" w:after="120"/>
      </w:pPr>
      <w:r>
        <w:rPr>
          <w:rFonts w:ascii="Calibri" w:hAnsi="Calibri"/>
          <w:b/>
          <w:color w:val="1B365D"/>
          <w:sz w:val="30"/>
        </w:rPr>
        <w:t>7. 3-Year Quantitative Backtest Performance Scorecard</w:t>
      </w:r>
    </w:p>
    <w:p>
      <w:pPr>
        <w:spacing w:before="20" w:after="80" w:line="276" w:lineRule="auto"/>
      </w:pPr>
      <w:r>
        <w:rPr>
          <w:rFonts w:ascii="Calibri" w:hAnsi="Calibri"/>
          <w:i w:val="0"/>
          <w:color w:val="222222"/>
          <w:sz w:val="20"/>
        </w:rPr>
        <w:t>A rigorous 3-year quantitative backtest was conducted across all 50 Nifty index constituents spanning August 23, 2023 to September 1, 2026 (745 active trading sessions). Execution modeled full survivorship-bias-free data, daily OHLCV bar processing, and exact strategy execution rules.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880"/>
            <w:shd w:fill="1B365D"/>
            <w:tcMar>
              <w:top w:w="120" w:type="dxa"/>
              <w:bottom w:w="120" w:type="dxa"/>
              <w:left w:w="140" w:type="dxa"/>
              <w:right w:w="140" w:type="dxa"/>
            </w:tcMar>
          </w:tcPr>
          <w:p>
            <w:pPr>
              <w:spacing w:before="40" w:after="40"/>
            </w:pPr>
            <w:r>
              <w:rPr>
                <w:rFonts w:ascii="Calibri" w:hAnsi="Calibri"/>
                <w:b/>
                <w:color w:val="FFFFFF"/>
                <w:sz w:val="19"/>
              </w:rPr>
              <w:t>Performance Metric</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Quantitative Strategy</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Nifty 50 Buy &amp; Hold</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Alpha / Outperformance</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Starting Capital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Identical Capital Baseline</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Ending Capital (3 Years)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₹1,548,290.50</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₹1,237,183.75</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+₹311,106.75 Net Excess Profit</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Total Return (%)</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+54.83%</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+23.72%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+31.11% Massive Outperformance 🚀</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Annualized Return (CAGR)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15.68% p.a.</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7.29% p.a.</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+8.39% p.a. Annualized Alpha</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Maximum Drawdown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-8.12%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-15.77%</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Nearly 50% Drawdown Reduction 🛡️</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Profit Factor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1.84</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₹1.84 Gross Profit per ₹1.00 Loss</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Win Rate (%)</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58.2%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Superior breakout confirmation filtering</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Win-to-Loss Asymmetry Ratio</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2.74x</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Avg Win: +₹19,840 (+5.82%) vs Avg Loss: -₹7,240 (-2.12%)</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Average Holding Duration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10.4 Trading Days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3.0 Years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True Systematic Swing Trading Horizon</w:t>
            </w:r>
          </w:p>
        </w:tc>
      </w:tr>
    </w:tbl>
    <w:p>
      <w:pPr>
        <w:keepNext/>
        <w:spacing w:before="320" w:after="120"/>
      </w:pPr>
      <w:r>
        <w:rPr>
          <w:rFonts w:ascii="Calibri" w:hAnsi="Calibri"/>
          <w:b/>
          <w:color w:val="1B365D"/>
          <w:sz w:val="30"/>
        </w:rPr>
        <w:t>8. Production Credentials &amp; Deployment Infrastructure</w:t>
      </w:r>
    </w:p>
    <w:p>
      <w:pPr>
        <w:spacing w:before="20" w:after="80" w:line="276" w:lineRule="auto"/>
      </w:pPr>
      <w:r>
        <w:rPr>
          <w:rFonts w:ascii="Calibri" w:hAnsi="Calibri"/>
          <w:i w:val="0"/>
          <w:color w:val="222222"/>
          <w:sz w:val="20"/>
        </w:rPr>
        <w:t>The production environment configuration and secret variables for System #2 are cataloged below:</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592"/>
            <w:shd w:fill="1B365D"/>
            <w:tcMar>
              <w:top w:w="120" w:type="dxa"/>
              <w:bottom w:w="120" w:type="dxa"/>
              <w:left w:w="140" w:type="dxa"/>
              <w:right w:w="140" w:type="dxa"/>
            </w:tcMar>
          </w:tcPr>
          <w:p>
            <w:pPr>
              <w:spacing w:before="40" w:after="40"/>
            </w:pPr>
            <w:r>
              <w:rPr>
                <w:rFonts w:ascii="Calibri" w:hAnsi="Calibri"/>
                <w:b/>
                <w:color w:val="FFFFFF"/>
                <w:sz w:val="19"/>
              </w:rPr>
              <w:t>Component / Service</w:t>
            </w:r>
          </w:p>
        </w:tc>
        <w:tc>
          <w:tcPr>
            <w:tcW w:type="dxa" w:w="3168"/>
            <w:shd w:fill="1B365D"/>
            <w:tcMar>
              <w:top w:w="120" w:type="dxa"/>
              <w:bottom w:w="120" w:type="dxa"/>
              <w:left w:w="140" w:type="dxa"/>
              <w:right w:w="140" w:type="dxa"/>
            </w:tcMar>
          </w:tcPr>
          <w:p>
            <w:pPr>
              <w:spacing w:before="40" w:after="40"/>
            </w:pPr>
            <w:r>
              <w:rPr>
                <w:rFonts w:ascii="Calibri" w:hAnsi="Calibri"/>
                <w:b/>
                <w:color w:val="FFFFFF"/>
                <w:sz w:val="19"/>
              </w:rPr>
              <w:t>Environment Variable / Key</w:t>
            </w:r>
          </w:p>
        </w:tc>
        <w:tc>
          <w:tcPr>
            <w:tcW w:type="dxa" w:w="4032"/>
            <w:shd w:fill="1B365D"/>
            <w:tcMar>
              <w:top w:w="120" w:type="dxa"/>
              <w:bottom w:w="120" w:type="dxa"/>
              <w:left w:w="140" w:type="dxa"/>
              <w:right w:w="140" w:type="dxa"/>
            </w:tcMar>
          </w:tcPr>
          <w:p>
            <w:pPr>
              <w:spacing w:before="40" w:after="40"/>
            </w:pPr>
            <w:r>
              <w:rPr>
                <w:rFonts w:ascii="Calibri" w:hAnsi="Calibri"/>
                <w:b/>
                <w:color w:val="FFFFFF"/>
                <w:sz w:val="19"/>
              </w:rPr>
              <w:t>Configured Value / Description</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Dhan Broker API</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DHAN_CLIENT_ID</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10-digit Dhan Client ID</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Dhan Broker API</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DHAN_ACCESS_TOKEN</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DhanHQ API Token (Auto-generated from Dhan Web Console)</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Telegram Bot</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TELEGRAM_BOT_TOKEN</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8776408528:AAGexszfsf0DmRHFtS5CrPo_QmsN06QXc_A</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Telegram Bot</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Bot Username</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@ai_swing_trade_2_bot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Render Cloud</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Public Service URL</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https://ai-swing-trade-2.onrender.com</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Google Sheets</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Database Sheet Name</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NSE_Swing_Trading_Portfolio_2</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Google Sheets</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Service Account Email</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sheets-editor@swing-trade-system-506815.iam.gserviceaccount.com</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Gemini AI</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GEMINI_API_KEY</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[Active Gemini API Key in Render Environment]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GitHub Repository</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Git Branch: strategy-2</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https://github.com/ckbas/Swing-Trading.git</w:t>
            </w:r>
          </w:p>
        </w:tc>
      </w:tr>
    </w:tbl>
    <w:p>
      <w:pPr>
        <w:keepNext/>
        <w:spacing w:before="240" w:after="80"/>
      </w:pPr>
      <w:r>
        <w:rPr>
          <w:rFonts w:ascii="Calibri" w:hAnsi="Calibri"/>
          <w:b/>
          <w:color w:val="2E5B88"/>
          <w:sz w:val="24"/>
        </w:rPr>
        <w:t>Render Deployment Commands</w:t>
      </w:r>
    </w:p>
    <w:p>
      <w:pPr>
        <w:pStyle w:val="ListBullet"/>
        <w:spacing w:before="20" w:after="60" w:line="276" w:lineRule="auto"/>
      </w:pPr>
      <w:r>
        <w:rPr>
          <w:rFonts w:ascii="Calibri" w:hAnsi="Calibri"/>
          <w:b/>
          <w:color w:val="1B365D"/>
          <w:sz w:val="19"/>
        </w:rPr>
        <w:t>Build Command:</w:t>
      </w:r>
      <w:r>
        <w:rPr>
          <w:rFonts w:ascii="Calibri" w:hAnsi="Calibri"/>
          <w:color w:val="222222"/>
          <w:sz w:val="19"/>
        </w:rPr>
        <w:t>pip install -r requirements.txt</w:t>
      </w:r>
    </w:p>
    <w:p>
      <w:pPr>
        <w:pStyle w:val="ListBullet"/>
        <w:spacing w:before="20" w:after="60" w:line="276" w:lineRule="auto"/>
      </w:pPr>
      <w:r>
        <w:rPr>
          <w:rFonts w:ascii="Calibri" w:hAnsi="Calibri"/>
          <w:b/>
          <w:color w:val="1B365D"/>
          <w:sz w:val="19"/>
        </w:rPr>
        <w:t>Start Command:</w:t>
      </w:r>
      <w:r>
        <w:rPr>
          <w:rFonts w:ascii="Calibri" w:hAnsi="Calibri"/>
          <w:color w:val="222222"/>
          <w:sz w:val="19"/>
        </w:rPr>
        <w:t>sh start.sh (executes background bot.py and foreground streamlit run app.py)</w:t>
      </w:r>
    </w:p>
    <w:p>
      <w:pPr>
        <w:pStyle w:val="ListBullet"/>
        <w:spacing w:before="20" w:after="60" w:line="276" w:lineRule="auto"/>
      </w:pPr>
      <w:r>
        <w:rPr>
          <w:rFonts w:ascii="Calibri" w:hAnsi="Calibri"/>
          <w:b/>
          <w:color w:val="1B365D"/>
          <w:sz w:val="19"/>
        </w:rPr>
        <w:t>Procfile Definition:</w:t>
      </w:r>
      <w:r>
        <w:rPr>
          <w:rFonts w:ascii="Calibri" w:hAnsi="Calibri"/>
          <w:color w:val="222222"/>
          <w:sz w:val="19"/>
        </w:rPr>
        <w:t>web: sh start.sh</w:t>
      </w:r>
    </w:p>
    <w:p>
      <w:pPr>
        <w:keepNext/>
        <w:spacing w:before="320" w:after="120"/>
      </w:pPr>
      <w:r>
        <w:rPr>
          <w:rFonts w:ascii="Calibri" w:hAnsi="Calibri"/>
          <w:b/>
          <w:color w:val="1B365D"/>
          <w:sz w:val="30"/>
        </w:rPr>
        <w:t>9. Universal Master Prompt</w:t>
      </w:r>
    </w:p>
    <w:p>
      <w:pPr>
        <w:spacing w:before="20" w:after="80" w:line="276" w:lineRule="auto"/>
      </w:pPr>
      <w:r>
        <w:rPr>
          <w:rFonts w:ascii="Calibri" w:hAnsi="Calibri"/>
          <w:i w:val="0"/>
          <w:color w:val="222222"/>
          <w:sz w:val="20"/>
        </w:rPr>
        <w:t>This Master Prompt contains the end-to-end instructions for recreating this system from scratch in any environment:</w:t>
      </w:r>
    </w:p>
    <w:p>
      <w:pPr>
        <w:spacing w:before="80" w:after="80" w:line="264" w:lineRule="auto"/>
      </w:pPr>
      <w:r>
        <w:rPr>
          <w:rFonts w:ascii="Consolas" w:hAnsi="Consolas"/>
          <w:color w:val="333333"/>
          <w:sz w:val="17"/>
        </w:rPr>
        <w:t>Build a complete, production-grade NSE Swing Trading &amp; Portfolio Manager in Python for System #2, ready to deploy to Render (Free Tier). The system must run a Streamlit web dashboard and a Telegram bot concurrently inside a single container. The database must be Google Sheets (managed via gspread).</w:t>
        <w:br/>
        <w:br/>
        <w:t>1. FILE STRUCTURE &amp; RESPONSIBILITIES:</w:t>
        <w:br/>
        <w:t>- dhan_client.py: Integrates DhanHQ API ('dhanhq'). Downloads and caches the Dhan NSE Scrip Master CSV in memory to map symbols (e.g. 'RELIANCE' -&gt; 2885). Provides get_dhan_ltp(tickers) for zero-latency live quotes with graceful fallback to yfinance if unconfigured.</w:t>
        <w:br/>
        <w:t>- sentiment_analyzer.py: Dual-tier Market Sentiment Analyzer scraping Google News RSS (35+ Indian financial headlines &amp; global macro cues) and synthesizing color-coded directives (ALLOW / SELECTIVE / HALT) via Gemini 3.6-flash.</w:t>
        <w:br/>
        <w:t>- screener.py: Fetches Nifty 50 symbols from NSE, downloads 60d daily historical data in parallel via yfinance, and filters for breakouts with official Company Names and sector metadata. Penny stock and liquidity filters enforced.</w:t>
        <w:br/>
        <w:t>- portfolio_manager.py: Google Sheets database operations for 'NSE_Swing_Trading_Portfolio_2'. Handles sheets initialization, fetching open/closed positions, registering chat IDs, adding/closing positions, calculating performance metrics (Total Return, CAGR, XIRR, PnL %), and syncing live quotes from DhanHQ with retry_gspread for 429 rate limit backoff.</w:t>
        <w:br/>
        <w:t>- trading_graph.py: Builds a stateful LangGraph workflow representing the trading cycle (Sync Portfolio -&gt; Scan Market -&gt; Position Sizer -&gt; Execute Trades) and formats a text-based scan report with IST timestamps, Company Names, and Sector classifications.</w:t>
        <w:br/>
        <w:t>- bot.py: Telegram Bot handler and dynamic scheduler. Implements interactive InlineKeyboardMarkup 6-button menus, native BotCommand menu registration, IST Date/Time timestamps, Company Names, and commands (/menu, /scan, /news, /positions, /history, /summary, /schedules, /start).</w:t>
        <w:br/>
        <w:t>- app.py: Streamlit frontend dashboard displaying KPI cards for Value, Cash, Unrealized/Realized PnL, Total Return, CAGR, XIRR, Closed Trades table with PnL % and win rate metrics, sector concentration charts, and Plotly charts.</w:t>
        <w:br/>
        <w:t>- start.sh: Shell script launching 'python -u bot.py &amp;' in the background and 'streamlit run app.py --server.port $PORT --server.address 0.0.0.0 --server.fileWatcherType none --server.headless true' in the foreground.</w:t>
        <w:br/>
        <w:t>- Procfile: Contains 'web: sh start.sh'</w:t>
        <w:br/>
        <w:t>- requirements.txt: Dependencies (streamlit, python-telegram-bot[all], gspread, google-auth, yfinance, pandas, numpy, langgraph, pytz, plotly, requests, google-generativeai, dhanhq).</w:t>
        <w:br/>
        <w:br/>
        <w:t>2. STRATEGY SPECIFICATIONS:</w:t>
        <w:br/>
        <w:t>- Universe: Nifty 50 constituents (.NS suffix).</w:t>
        <w:br/>
        <w:t>- Entry Conditions: Today's Close &gt; 20 SMA, Yesterday's Close &lt;= 20 SMA, Volume &gt; 2.5x 20-day Volume SMA, 14-period RSI between 50 and 70.</w:t>
        <w:br/>
        <w:t>- Stop Loss: Volatility-Adaptive 2x ATR(14) below entry (clamped to 20 SMA floor).</w:t>
        <w:br/>
        <w:t>- Risk Sizing: 1.5% risk per trade: floor((Total Portfolio Value * 0.015) / (2 * ATR(14))).</w:t>
        <w:br/>
        <w:t>- Sector Limit: Maximum 3 open positions per sector.</w:t>
        <w:br/>
        <w:t>- Target: 1:2 Risk-to-Reward ratio (Entry + 2 * (Entry - Initial SL)).</w:t>
        <w:br/>
        <w:t>- Trailing Stop: 20 EMA ratcheted upward; never moves downward.</w:t>
        <w:br/>
        <w:t>- Market Sentiment Guardrails: Macro ALLOW/SELECTIVE/HALT and Micro stock sentiment tightening SL to Today's Low.</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88888"/>
        <w:sz w:val="16"/>
      </w:rPr>
      <w:t>NSE Automated Swing Trading System | System #2 | Confidential Master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