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8"/>
        </w:rPr>
        <w:t>NSE Automated Swing Trading &amp; Portfolio Management System</w:t>
        <w:br/>
        <w:t>Master Technical &amp; Operations Manual</w:t>
      </w:r>
    </w:p>
    <w:p>
      <w:pPr>
        <w:jc w:val="center"/>
      </w:pPr>
      <w:r>
        <w:rPr>
          <w:i/>
          <w:color w:val="595959"/>
          <w:sz w:val="24"/>
        </w:rPr>
        <w:t>Final Production Documentation: DhanHQ Live Feed, Gemini AI News Sentiment, System Guardrails, Performance Metrics (PnL %, CAGR, XIRR), Interactive Telegram Menus, 3-Year Backtest Scorecard &amp; Universal Master Prompt</w:t>
        <w:br/>
      </w:r>
    </w:p>
    <w:p>
      <w:pPr>
        <w:jc w:val="center"/>
      </w:pPr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1. Executive Summary &amp; Architecture</w:t>
      </w:r>
    </w:p>
    <w:p>
      <w:r>
        <w:t>The NSE Swing Trading &amp; Portfolio Management System is a production-grade, stateful, automated quantitative trading engine. Built using Python and LangGraph, it automates the full lifecycle of swing trading on the National Stock Exchange (NSE) of India: real-time portfolio syncing, market breakout screening, 1% risk position sizing, AI news sentiment filtering, and order execution.</w:t>
      </w:r>
    </w:p>
    <w:p>
      <w:r>
        <w:t>The system runs a Streamlit interactive web dashboard and an interactive Python-Telegram bot concurrently within a single lightweight container deployed on Render. All trade records, account balances, and chat subscriptions are persisted in Google Sheets as a relational database.</w:t>
      </w:r>
    </w:p>
    <w:p>
      <w:pPr>
        <w:pStyle w:val="Heading1"/>
      </w:pPr>
      <w:r>
        <w:rPr>
          <w:color w:val="1F4E79"/>
        </w:rPr>
        <w:t>2. Quantitative Strategy &amp; Execution Rules</w:t>
      </w:r>
    </w:p>
    <w:p>
      <w:r>
        <w:t>• Stock Universe: Nifty 50 Index constituents (fetched dynamically from NSE Archives).</w:t>
      </w:r>
    </w:p>
    <w:p>
      <w:r>
        <w:t>• Entry Condition: Close crosses above 20 SMA, Volume &gt; 2.0x 20-day Volume SMA, and 14-period Wilder's RSI between 50 and 70.</w:t>
      </w:r>
    </w:p>
    <w:p>
      <w:r>
        <w:t>• Profit Target: Entry Price + 2 * (Entry Price - Initial SL) [Fixed 1:2 Risk-to-Reward Ratio].</w:t>
      </w:r>
    </w:p>
    <w:p>
      <w:r>
        <w:t>• Trailing Stop Loss: 20-day Exponential Moving Average (20 EMA). Stop Loss trails upward as 20 EMA rises; it never moves downward.</w:t>
      </w:r>
    </w:p>
    <w:p>
      <w:r>
        <w:t>• AI News Sentiment: Google News RSS + Gemini 3.6-flash macro (Nifty 50) and micro (stock-level) news filters.</w:t>
      </w:r>
    </w:p>
    <w:p>
      <w:pPr>
        <w:pStyle w:val="Heading1"/>
      </w:pPr>
      <w:r>
        <w:rPr>
          <w:color w:val="1F4E79"/>
        </w:rPr>
        <w:t>3. Comprehensive System Guardrails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Guardrail Name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Scope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Operational Rule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Risk Mitigated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DhanHQ Fallback Engine</w:t>
            </w:r>
          </w:p>
        </w:tc>
        <w:tc>
          <w:tcPr>
            <w:tcW w:type="dxa" w:w="2160"/>
            <w:shd w:val="clear" w:color="auto" w:fill="F2F2F2"/>
          </w:tcPr>
          <w:p>
            <w:r>
              <w:t>Data Feed</w:t>
            </w:r>
          </w:p>
        </w:tc>
        <w:tc>
          <w:tcPr>
            <w:tcW w:type="dxa" w:w="2160"/>
            <w:shd w:val="clear" w:color="auto" w:fill="F2F2F2"/>
          </w:tcPr>
          <w:p>
            <w:r>
              <w:t>Auto-switch to yfinance on token expiry/timeout</w:t>
            </w:r>
          </w:p>
        </w:tc>
        <w:tc>
          <w:tcPr>
            <w:tcW w:type="dxa" w:w="2160"/>
            <w:shd w:val="clear" w:color="auto" w:fill="F2F2F2"/>
          </w:tcPr>
          <w:p>
            <w:r>
              <w:t>Prevents bot crashes &amp; downtime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Double Buy Blocker</w:t>
            </w:r>
          </w:p>
        </w:tc>
        <w:tc>
          <w:tcPr>
            <w:tcW w:type="dxa" w:w="2160"/>
            <w:shd w:val="clear" w:color="auto" w:fill="F2F2F2"/>
          </w:tcPr>
          <w:p>
            <w:r>
              <w:t>Portfolio</w:t>
            </w:r>
          </w:p>
        </w:tc>
        <w:tc>
          <w:tcPr>
            <w:tcW w:type="dxa" w:w="2160"/>
            <w:shd w:val="clear" w:color="auto" w:fill="F2F2F2"/>
          </w:tcPr>
          <w:p>
            <w:r>
              <w:t>Rejects purchasing duplicate active tickers</w:t>
            </w:r>
          </w:p>
        </w:tc>
        <w:tc>
          <w:tcPr>
            <w:tcW w:type="dxa" w:w="2160"/>
            <w:shd w:val="clear" w:color="auto" w:fill="F2F2F2"/>
          </w:tcPr>
          <w:p>
            <w:r>
              <w:t>Prevents single-stock overexposure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Max Portfolio Allocation</w:t>
            </w:r>
          </w:p>
        </w:tc>
        <w:tc>
          <w:tcPr>
            <w:tcW w:type="dxa" w:w="2160"/>
            <w:shd w:val="clear" w:color="auto" w:fill="F2F2F2"/>
          </w:tcPr>
          <w:p>
            <w:r>
              <w:t>Portfolio</w:t>
            </w:r>
          </w:p>
        </w:tc>
        <w:tc>
          <w:tcPr>
            <w:tcW w:type="dxa" w:w="2160"/>
            <w:shd w:val="clear" w:color="auto" w:fill="F2F2F2"/>
          </w:tcPr>
          <w:p>
            <w:r>
              <w:t>Limits open positions value to 90% of portfolio</w:t>
            </w:r>
          </w:p>
        </w:tc>
        <w:tc>
          <w:tcPr>
            <w:tcW w:type="dxa" w:w="2160"/>
            <w:shd w:val="clear" w:color="auto" w:fill="F2F2F2"/>
          </w:tcPr>
          <w:p>
            <w:r>
              <w:t>Guarantees 10% liquid cash buffer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Daily Purchase Limit</w:t>
            </w:r>
          </w:p>
        </w:tc>
        <w:tc>
          <w:tcPr>
            <w:tcW w:type="dxa" w:w="2160"/>
            <w:shd w:val="clear" w:color="auto" w:fill="F2F2F2"/>
          </w:tcPr>
          <w:p>
            <w:r>
              <w:t>Sizer</w:t>
            </w:r>
          </w:p>
        </w:tc>
        <w:tc>
          <w:tcPr>
            <w:tcW w:type="dxa" w:w="2160"/>
            <w:shd w:val="clear" w:color="auto" w:fill="F2F2F2"/>
          </w:tcPr>
          <w:p>
            <w:r>
              <w:t>Max 3 breakout buys/day (highest volume ratio first)</w:t>
            </w:r>
          </w:p>
        </w:tc>
        <w:tc>
          <w:tcPr>
            <w:tcW w:type="dxa" w:w="2160"/>
            <w:shd w:val="clear" w:color="auto" w:fill="F2F2F2"/>
          </w:tcPr>
          <w:p>
            <w:r>
              <w:t>Prevents capital exhaustion on bull runs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SL Tightness Guard</w:t>
            </w:r>
          </w:p>
        </w:tc>
        <w:tc>
          <w:tcPr>
            <w:tcW w:type="dxa" w:w="2160"/>
            <w:shd w:val="clear" w:color="auto" w:fill="F2F2F2"/>
          </w:tcPr>
          <w:p>
            <w:r>
              <w:t>Sizer</w:t>
            </w:r>
          </w:p>
        </w:tc>
        <w:tc>
          <w:tcPr>
            <w:tcW w:type="dxa" w:w="2160"/>
            <w:shd w:val="clear" w:color="auto" w:fill="F2F2F2"/>
          </w:tcPr>
          <w:p>
            <w:r>
              <w:t>Rejects entry if Stop Loss distance &lt; 3%</w:t>
            </w:r>
          </w:p>
        </w:tc>
        <w:tc>
          <w:tcPr>
            <w:tcW w:type="dxa" w:w="2160"/>
            <w:shd w:val="clear" w:color="auto" w:fill="F2F2F2"/>
          </w:tcPr>
          <w:p>
            <w:r>
              <w:t>Prevents noise-triggered stop-outs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SL Bloat Guard</w:t>
            </w:r>
          </w:p>
        </w:tc>
        <w:tc>
          <w:tcPr>
            <w:tcW w:type="dxa" w:w="2160"/>
            <w:shd w:val="clear" w:color="auto" w:fill="F2F2F2"/>
          </w:tcPr>
          <w:p>
            <w:r>
              <w:t>Sizer</w:t>
            </w:r>
          </w:p>
        </w:tc>
        <w:tc>
          <w:tcPr>
            <w:tcW w:type="dxa" w:w="2160"/>
            <w:shd w:val="clear" w:color="auto" w:fill="F2F2F2"/>
          </w:tcPr>
          <w:p>
            <w:r>
              <w:t>Rejects entry if Stop Loss distance &gt; 15%</w:t>
            </w:r>
          </w:p>
        </w:tc>
        <w:tc>
          <w:tcPr>
            <w:tcW w:type="dxa" w:w="2160"/>
            <w:shd w:val="clear" w:color="auto" w:fill="F2F2F2"/>
          </w:tcPr>
          <w:p>
            <w:r>
              <w:t>Eliminates high-risk bloated trades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Penny Stock Filter</w:t>
            </w:r>
          </w:p>
        </w:tc>
        <w:tc>
          <w:tcPr>
            <w:tcW w:type="dxa" w:w="2160"/>
            <w:shd w:val="clear" w:color="auto" w:fill="F2F2F2"/>
          </w:tcPr>
          <w:p>
            <w:r>
              <w:t>Screener</w:t>
            </w:r>
          </w:p>
        </w:tc>
        <w:tc>
          <w:tcPr>
            <w:tcW w:type="dxa" w:w="2160"/>
            <w:shd w:val="clear" w:color="auto" w:fill="F2F2F2"/>
          </w:tcPr>
          <w:p>
            <w:r>
              <w:t>Discards stocks priced &lt; Rs 20</w:t>
            </w:r>
          </w:p>
        </w:tc>
        <w:tc>
          <w:tcPr>
            <w:tcW w:type="dxa" w:w="2160"/>
            <w:shd w:val="clear" w:color="auto" w:fill="F2F2F2"/>
          </w:tcPr>
          <w:p>
            <w:r>
              <w:t>Filters pump-and-dump micro-caps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Liquidity Filter</w:t>
            </w:r>
          </w:p>
        </w:tc>
        <w:tc>
          <w:tcPr>
            <w:tcW w:type="dxa" w:w="2160"/>
            <w:shd w:val="clear" w:color="auto" w:fill="F2F2F2"/>
          </w:tcPr>
          <w:p>
            <w:r>
              <w:t>Screener</w:t>
            </w:r>
          </w:p>
        </w:tc>
        <w:tc>
          <w:tcPr>
            <w:tcW w:type="dxa" w:w="2160"/>
            <w:shd w:val="clear" w:color="auto" w:fill="F2F2F2"/>
          </w:tcPr>
          <w:p>
            <w:r>
              <w:t>Discards stocks with 20-day Volume SMA &lt; 50,000</w:t>
            </w:r>
          </w:p>
        </w:tc>
        <w:tc>
          <w:tcPr>
            <w:tcW w:type="dxa" w:w="2160"/>
            <w:shd w:val="clear" w:color="auto" w:fill="F2F2F2"/>
          </w:tcPr>
          <w:p>
            <w:r>
              <w:t>Eliminates low-liquidity slippage traps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Google Sheets 429 Retry</w:t>
            </w:r>
          </w:p>
        </w:tc>
        <w:tc>
          <w:tcPr>
            <w:tcW w:type="dxa" w:w="2160"/>
            <w:shd w:val="clear" w:color="auto" w:fill="F2F2F2"/>
          </w:tcPr>
          <w:p>
            <w:r>
              <w:t>Database</w:t>
            </w:r>
          </w:p>
        </w:tc>
        <w:tc>
          <w:tcPr>
            <w:tcW w:type="dxa" w:w="2160"/>
            <w:shd w:val="clear" w:color="auto" w:fill="F2F2F2"/>
          </w:tcPr>
          <w:p>
            <w:r>
              <w:t>2-second sleep backoff retry on API rate limits</w:t>
            </w:r>
          </w:p>
        </w:tc>
        <w:tc>
          <w:tcPr>
            <w:tcW w:type="dxa" w:w="2160"/>
            <w:shd w:val="clear" w:color="auto" w:fill="F2F2F2"/>
          </w:tcPr>
          <w:p>
            <w:r>
              <w:t>Prevents quota exhaustion write errors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Container Memory Guard</w:t>
            </w:r>
          </w:p>
        </w:tc>
        <w:tc>
          <w:tcPr>
            <w:tcW w:type="dxa" w:w="2160"/>
            <w:shd w:val="clear" w:color="auto" w:fill="F2F2F2"/>
          </w:tcPr>
          <w:p>
            <w:r>
              <w:t>Runtime</w:t>
            </w:r>
          </w:p>
        </w:tc>
        <w:tc>
          <w:tcPr>
            <w:tcW w:type="dxa" w:w="2160"/>
            <w:shd w:val="clear" w:color="auto" w:fill="F2F2F2"/>
          </w:tcPr>
          <w:p>
            <w:r>
              <w:t>threads=False, TZ cache default, explicit gc.collect()</w:t>
            </w:r>
          </w:p>
        </w:tc>
        <w:tc>
          <w:tcPr>
            <w:tcW w:type="dxa" w:w="2160"/>
            <w:shd w:val="clear" w:color="auto" w:fill="F2F2F2"/>
          </w:tcPr>
          <w:p>
            <w:r>
              <w:t>Prevents 512MB RAM container crashes</w:t>
            </w:r>
          </w:p>
        </w:tc>
      </w:tr>
    </w:tbl>
    <w:p>
      <w:pPr>
        <w:pStyle w:val="Heading1"/>
      </w:pPr>
      <w:r>
        <w:rPr>
          <w:color w:val="1F4E79"/>
        </w:rPr>
        <w:t>4. 3-Year Quantitative Backtest Performance Scorecard</w:t>
      </w:r>
    </w:p>
    <w:p>
      <w:r>
        <w:t>• Simulation Period: August 23, 2023 – September 1, 2026 (745 Trading Sessions across Nifty 50).</w:t>
      </w:r>
    </w:p>
    <w:p>
      <w:r>
        <w:t>• Strategy Final Value: ₹13,56,216.40 (+35.62% Return | 10.60% CAGR) vs Nifty 50: ₹12,37,183.75 (+23.72% Return | 7.29% CAGR).</w:t>
      </w:r>
    </w:p>
    <w:p>
      <w:r>
        <w:t>• Alpha / Outperformance: +11.90% excess return over buy-and-hold benchmark.</w:t>
      </w:r>
    </w:p>
    <w:p>
      <w:r>
        <w:t>• Max Drawdown: -7.38% (vs Nifty 50 Index: -15.77% — cuts market risk in half!).</w:t>
      </w:r>
    </w:p>
    <w:p>
      <w:r>
        <w:t>• Profit Factor: 1.53 (Gross Profit: ₹10,25,920 vs Gross Loss: ₹6,69,703).</w:t>
      </w:r>
    </w:p>
    <w:p>
      <w:r>
        <w:t>• Win-to-Loss Asymmetry Ratio: 2.59x (Average Win: +₹16,547 / +4.90% vs Average Loss: -₹6,378 / -2.09%).</w:t>
      </w:r>
    </w:p>
    <w:p>
      <w:r>
        <w:t>• Total Completed Trades: 167 trades (~55 trades/year | 9.3 days average holding period).</w:t>
      </w:r>
    </w:p>
    <w:p>
      <w:pPr>
        <w:pStyle w:val="Heading1"/>
      </w:pPr>
      <w:r>
        <w:rPr>
          <w:color w:val="1F4E79"/>
        </w:rPr>
        <w:t>5. Interactive Telegram Menus &amp; Formatting Reference</w:t>
      </w:r>
    </w:p>
    <w:p>
      <w:r>
        <w:t>• All scan reports and command responses display exact execution timestamps in Indian Standard Time (IST).</w:t>
      </w:r>
    </w:p>
    <w:p>
      <w:r>
        <w:t>• All tickers display their official Company Name alongside the symbol (e.g. HCL Technologies Ltd. (HCLTECH)).</w:t>
      </w:r>
    </w:p>
    <w:p>
      <w:r>
        <w:t>• /menu : Displays the interactive 4-button quick action hub.</w:t>
      </w:r>
    </w:p>
    <w:p>
      <w:r>
        <w:t>• /scan : Runs immediate breakout scan and executes orders.</w:t>
      </w:r>
    </w:p>
    <w:p>
      <w:r>
        <w:t>• /positions : Shows open positions with live Dhan/Yahoo prices and PnL.</w:t>
      </w:r>
    </w:p>
    <w:p>
      <w:r>
        <w:t>• /history : Lists all closed trades with realized PnL (Rs) and PnL %.</w:t>
      </w:r>
    </w:p>
    <w:p>
      <w:r>
        <w:t>• /summary : Displays total portfolio value, cash, and CAGR/XIRR returns.</w:t>
      </w:r>
    </w:p>
    <w:p>
      <w:pPr>
        <w:pStyle w:val="Heading1"/>
      </w:pPr>
      <w:r>
        <w:rPr>
          <w:color w:val="1F4E79"/>
        </w:rPr>
        <w:t>6. Credentials Catalog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Service / System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Environment Variable / Key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Description / Value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Dhan Broker</w:t>
            </w:r>
          </w:p>
        </w:tc>
        <w:tc>
          <w:tcPr>
            <w:tcW w:type="dxa" w:w="2880"/>
            <w:shd w:val="clear" w:color="auto" w:fill="F2F2F2"/>
          </w:tcPr>
          <w:p>
            <w:r>
              <w:t>DHAN_CLIENT_ID</w:t>
            </w:r>
          </w:p>
        </w:tc>
        <w:tc>
          <w:tcPr>
            <w:tcW w:type="dxa" w:w="2880"/>
            <w:shd w:val="clear" w:color="auto" w:fill="F2F2F2"/>
          </w:tcPr>
          <w:p>
            <w:r>
              <w:t>Your 10-digit Dhan Client ID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Dhan Broker</w:t>
            </w:r>
          </w:p>
        </w:tc>
        <w:tc>
          <w:tcPr>
            <w:tcW w:type="dxa" w:w="2880"/>
            <w:shd w:val="clear" w:color="auto" w:fill="F2F2F2"/>
          </w:tcPr>
          <w:p>
            <w:r>
              <w:t>DHAN_ACCESS_TOKEN</w:t>
            </w:r>
          </w:p>
        </w:tc>
        <w:tc>
          <w:tcPr>
            <w:tcW w:type="dxa" w:w="2880"/>
            <w:shd w:val="clear" w:color="auto" w:fill="F2F2F2"/>
          </w:tcPr>
          <w:p>
            <w:r>
              <w:t>Generated from Dhan Web &gt; Profile &gt; DhanHQ APIs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Telegram Bot</w:t>
            </w:r>
          </w:p>
        </w:tc>
        <w:tc>
          <w:tcPr>
            <w:tcW w:type="dxa" w:w="2880"/>
            <w:shd w:val="clear" w:color="auto" w:fill="F2F2F2"/>
          </w:tcPr>
          <w:p>
            <w:r>
              <w:t>TELEGRAM_BOT_TOKEN</w:t>
            </w:r>
          </w:p>
        </w:tc>
        <w:tc>
          <w:tcPr>
            <w:tcW w:type="dxa" w:w="2880"/>
            <w:shd w:val="clear" w:color="auto" w:fill="F2F2F2"/>
          </w:tcPr>
          <w:p>
            <w:r>
              <w:t>8723012283:AAFuddRfXL3-VNbeCdRRwKwoZ3438FaV0uo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Telegram Bot</w:t>
            </w:r>
          </w:p>
        </w:tc>
        <w:tc>
          <w:tcPr>
            <w:tcW w:type="dxa" w:w="2880"/>
            <w:shd w:val="clear" w:color="auto" w:fill="F2F2F2"/>
          </w:tcPr>
          <w:p>
            <w:r>
              <w:t>Bot Username</w:t>
            </w:r>
          </w:p>
        </w:tc>
        <w:tc>
          <w:tcPr>
            <w:tcW w:type="dxa" w:w="2880"/>
            <w:shd w:val="clear" w:color="auto" w:fill="F2F2F2"/>
          </w:tcPr>
          <w:p>
            <w:r>
              <w:t>@nse_swing_123_bot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Render Cloud</w:t>
            </w:r>
          </w:p>
        </w:tc>
        <w:tc>
          <w:tcPr>
            <w:tcW w:type="dxa" w:w="2880"/>
            <w:shd w:val="clear" w:color="auto" w:fill="F2F2F2"/>
          </w:tcPr>
          <w:p>
            <w:r>
              <w:t>Service ID</w:t>
            </w:r>
          </w:p>
        </w:tc>
        <w:tc>
          <w:tcPr>
            <w:tcW w:type="dxa" w:w="2880"/>
            <w:shd w:val="clear" w:color="auto" w:fill="F2F2F2"/>
          </w:tcPr>
          <w:p>
            <w:r>
              <w:t>srv-da86e4ugekts73ccfr20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Render Cloud</w:t>
            </w:r>
          </w:p>
        </w:tc>
        <w:tc>
          <w:tcPr>
            <w:tcW w:type="dxa" w:w="2880"/>
            <w:shd w:val="clear" w:color="auto" w:fill="F2F2F2"/>
          </w:tcPr>
          <w:p>
            <w:r>
              <w:t>Public Service URL</w:t>
            </w:r>
          </w:p>
        </w:tc>
        <w:tc>
          <w:tcPr>
            <w:tcW w:type="dxa" w:w="2880"/>
            <w:shd w:val="clear" w:color="auto" w:fill="F2F2F2"/>
          </w:tcPr>
          <w:p>
            <w:r>
              <w:t>https://nse-swing-trading.onrender.com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Google Sheets</w:t>
            </w:r>
          </w:p>
        </w:tc>
        <w:tc>
          <w:tcPr>
            <w:tcW w:type="dxa" w:w="2880"/>
            <w:shd w:val="clear" w:color="auto" w:fill="F2F2F2"/>
          </w:tcPr>
          <w:p>
            <w:r>
              <w:t>GOOGLE_SERVICE_ACCOUNT_JSON</w:t>
            </w:r>
          </w:p>
        </w:tc>
        <w:tc>
          <w:tcPr>
            <w:tcW w:type="dxa" w:w="2880"/>
            <w:shd w:val="clear" w:color="auto" w:fill="F2F2F2"/>
          </w:tcPr>
          <w:p>
            <w:r>
              <w:t>Content of service_account.json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Google Sheets</w:t>
            </w:r>
          </w:p>
        </w:tc>
        <w:tc>
          <w:tcPr>
            <w:tcW w:type="dxa" w:w="2880"/>
            <w:shd w:val="clear" w:color="auto" w:fill="F2F2F2"/>
          </w:tcPr>
          <w:p>
            <w:r>
              <w:t>Service Account Email</w:t>
            </w:r>
          </w:p>
        </w:tc>
        <w:tc>
          <w:tcPr>
            <w:tcW w:type="dxa" w:w="2880"/>
            <w:shd w:val="clear" w:color="auto" w:fill="F2F2F2"/>
          </w:tcPr>
          <w:p>
            <w:r>
              <w:t>sheets-editor@swing-trade-system-506815.iam.gserviceaccount.com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Google Sheets</w:t>
            </w:r>
          </w:p>
        </w:tc>
        <w:tc>
          <w:tcPr>
            <w:tcW w:type="dxa" w:w="2880"/>
            <w:shd w:val="clear" w:color="auto" w:fill="F2F2F2"/>
          </w:tcPr>
          <w:p>
            <w:r>
              <w:t>Database Sheet Name</w:t>
            </w:r>
          </w:p>
        </w:tc>
        <w:tc>
          <w:tcPr>
            <w:tcW w:type="dxa" w:w="2880"/>
            <w:shd w:val="clear" w:color="auto" w:fill="F2F2F2"/>
          </w:tcPr>
          <w:p>
            <w:r>
              <w:t>NSE_Swing_Trading_Portfolio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Gemini AI</w:t>
            </w:r>
          </w:p>
        </w:tc>
        <w:tc>
          <w:tcPr>
            <w:tcW w:type="dxa" w:w="2880"/>
            <w:shd w:val="clear" w:color="auto" w:fill="F2F2F2"/>
          </w:tcPr>
          <w:p>
            <w:r>
              <w:t>GEMINI_API_KEY</w:t>
            </w:r>
          </w:p>
        </w:tc>
        <w:tc>
          <w:tcPr>
            <w:tcW w:type="dxa" w:w="2880"/>
            <w:shd w:val="clear" w:color="auto" w:fill="F2F2F2"/>
          </w:tcPr>
          <w:p>
            <w:r>
              <w:t>[Your Gemini API Key]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GitHub Repository</w:t>
            </w:r>
          </w:p>
        </w:tc>
        <w:tc>
          <w:tcPr>
            <w:tcW w:type="dxa" w:w="2880"/>
            <w:shd w:val="clear" w:color="auto" w:fill="F2F2F2"/>
          </w:tcPr>
          <w:p>
            <w:r>
              <w:t>Git Repository URL</w:t>
            </w:r>
          </w:p>
        </w:tc>
        <w:tc>
          <w:tcPr>
            <w:tcW w:type="dxa" w:w="2880"/>
            <w:shd w:val="clear" w:color="auto" w:fill="F2F2F2"/>
          </w:tcPr>
          <w:p>
            <w:r>
              <w:t>https://github.com/ckbas/Swing-Trading.git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