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8A70" w14:textId="77777777" w:rsidR="00CA4115" w:rsidRDefault="00000000">
      <w:pPr>
        <w:spacing w:after="80"/>
        <w:jc w:val="center"/>
      </w:pPr>
      <w:r>
        <w:rPr>
          <w:b/>
          <w:color w:val="1F4E78"/>
          <w:sz w:val="52"/>
        </w:rPr>
        <w:t>AI-Swing-Trade Ecosystem</w:t>
      </w:r>
    </w:p>
    <w:p w14:paraId="63BA96BE" w14:textId="77777777" w:rsidR="00CA4115" w:rsidRDefault="00000000">
      <w:pPr>
        <w:spacing w:after="480"/>
        <w:jc w:val="center"/>
      </w:pPr>
      <w:r>
        <w:rPr>
          <w:i/>
          <w:color w:val="595959"/>
          <w:sz w:val="28"/>
        </w:rPr>
        <w:t>Quantitative Strategies Technical Specifications &amp; Comparative Analysis</w:t>
      </w:r>
    </w:p>
    <w:p w14:paraId="0835EFBD" w14:textId="77777777" w:rsidR="00CA4115" w:rsidRDefault="00CA4115">
      <w:pPr>
        <w:spacing w:after="120"/>
      </w:pPr>
    </w:p>
    <w:p w14:paraId="183ACAAD" w14:textId="77777777" w:rsidR="00CA4115" w:rsidRDefault="00000000">
      <w:pPr>
        <w:keepNext/>
        <w:spacing w:before="360" w:after="160"/>
      </w:pPr>
      <w:r>
        <w:rPr>
          <w:b/>
          <w:color w:val="1F4E78"/>
          <w:sz w:val="36"/>
        </w:rPr>
        <w:t>1. Executive Summary</w:t>
      </w:r>
    </w:p>
    <w:p w14:paraId="227E1E59" w14:textId="77777777" w:rsidR="00CA4115" w:rsidRDefault="00000000">
      <w:pPr>
        <w:spacing w:after="240"/>
      </w:pPr>
      <w:r>
        <w:t>The AI-Swing-Trade platform is an autonomous, quantitative multi-strategy trading engine designed for the Indian Equity market (NSE). The system deploys 5 specialized quantitative strategies, combining momentum breakout tracking, volatility ATR risk-budgeting, mean-reversion dip buying, low-beta ETF rotation, and an autonomous Dhan broker capital recycling engine.</w:t>
      </w:r>
    </w:p>
    <w:p w14:paraId="5B5F0B74" w14:textId="77777777" w:rsidR="00CA4115" w:rsidRDefault="00000000">
      <w:pPr>
        <w:keepNext/>
        <w:spacing w:before="360" w:after="160"/>
      </w:pPr>
      <w:r>
        <w:rPr>
          <w:b/>
          <w:color w:val="1F4E78"/>
          <w:sz w:val="36"/>
        </w:rPr>
        <w:t>2. Detailed Technical Strategy Specifications</w:t>
      </w:r>
    </w:p>
    <w:p w14:paraId="68475A26" w14:textId="77777777" w:rsidR="00CA4115" w:rsidRDefault="00000000">
      <w:pPr>
        <w:keepNext/>
        <w:spacing w:before="280" w:after="120"/>
      </w:pPr>
      <w:r>
        <w:rPr>
          <w:b/>
          <w:color w:val="2E75B6"/>
          <w:sz w:val="28"/>
        </w:rPr>
        <w:t>Strategy #1: Classic Breakout (Nifty 50 Universe)</w:t>
      </w:r>
    </w:p>
    <w:p w14:paraId="145A4B0F" w14:textId="77777777" w:rsidR="00CA4115" w:rsidRDefault="00000000">
      <w:pPr>
        <w:spacing w:after="120"/>
      </w:pPr>
      <w:r>
        <w:t xml:space="preserve">Targeting India's </w:t>
      </w:r>
      <w:r w:rsidRPr="008D7B8D">
        <w:rPr>
          <w:b/>
          <w:bCs/>
        </w:rPr>
        <w:t>top 50 blue-chip stocks</w:t>
      </w:r>
      <w:r>
        <w:t>, Strategy #1 exploits institutional momentum accumulation. Blue-chip equities exhibit high liquidity and lower default risk, making breakout patterns exceptionally reliable.</w:t>
      </w:r>
    </w:p>
    <w:p w14:paraId="66FE3D76" w14:textId="77777777" w:rsidR="00CA4115" w:rsidRDefault="00000000">
      <w:pPr>
        <w:pStyle w:val="ListBullet"/>
        <w:spacing w:after="80"/>
      </w:pPr>
      <w:r>
        <w:rPr>
          <w:b/>
        </w:rPr>
        <w:t>Close &gt; 20-day SMA today AND Close &lt;= 20-day SMA yesterday.</w:t>
      </w:r>
    </w:p>
    <w:p w14:paraId="4288CEDA" w14:textId="77777777" w:rsidR="00CA4115" w:rsidRDefault="00000000">
      <w:pPr>
        <w:pStyle w:val="ListBullet"/>
        <w:spacing w:after="80"/>
      </w:pPr>
      <w:r>
        <w:rPr>
          <w:b/>
        </w:rPr>
        <w:t>Volume &gt; 2.5x (250%) of 20-day Average Volume (eliminates low-volume false breakouts).</w:t>
      </w:r>
    </w:p>
    <w:p w14:paraId="15746C1F" w14:textId="77777777" w:rsidR="00CA4115" w:rsidRDefault="00000000">
      <w:pPr>
        <w:pStyle w:val="ListBullet"/>
        <w:spacing w:after="80"/>
      </w:pPr>
      <w:r>
        <w:rPr>
          <w:b/>
        </w:rPr>
        <w:t>14-period RSI between 50 and 70.</w:t>
      </w:r>
    </w:p>
    <w:p w14:paraId="2E649C75" w14:textId="77777777" w:rsidR="00CA4115" w:rsidRDefault="00000000">
      <w:pPr>
        <w:pStyle w:val="ListBullet"/>
        <w:spacing w:after="80"/>
      </w:pPr>
      <w:r>
        <w:rPr>
          <w:b/>
        </w:rPr>
        <w:t>Stock-specific news sentiment must not be NEGATIVE.</w:t>
      </w:r>
    </w:p>
    <w:p w14:paraId="64D2FB02" w14:textId="77777777" w:rsidR="00CA4115" w:rsidRDefault="00000000">
      <w:pPr>
        <w:pStyle w:val="ListBullet"/>
        <w:spacing w:after="80"/>
      </w:pPr>
      <w:r>
        <w:rPr>
          <w:b/>
        </w:rPr>
        <w:t>2 x ATR(14) volatility stop loss below entry price.</w:t>
      </w:r>
    </w:p>
    <w:p w14:paraId="0CF47903" w14:textId="77777777" w:rsidR="00CA4115" w:rsidRDefault="00000000">
      <w:pPr>
        <w:pStyle w:val="ListBullet"/>
        <w:spacing w:after="80"/>
      </w:pPr>
      <w:r>
        <w:rPr>
          <w:b/>
        </w:rPr>
        <w:t>1:2.0 Risk-to-Reward ratio. Position size strictly capped at 1.5% portfolio risk per trade. Max 3 buy orders per day.</w:t>
      </w:r>
    </w:p>
    <w:p w14:paraId="19D3102E" w14:textId="77777777" w:rsidR="00CA4115" w:rsidRDefault="00000000">
      <w:pPr>
        <w:keepNext/>
        <w:spacing w:before="280" w:after="120"/>
      </w:pPr>
      <w:r>
        <w:rPr>
          <w:b/>
          <w:color w:val="2E75B6"/>
          <w:sz w:val="28"/>
        </w:rPr>
        <w:t>Strategy #2: Dynamic ATR &amp; Sector Limits</w:t>
      </w:r>
    </w:p>
    <w:p w14:paraId="51206F01" w14:textId="77777777" w:rsidR="00CA4115" w:rsidRDefault="00000000">
      <w:pPr>
        <w:spacing w:after="120"/>
      </w:pPr>
      <w:r>
        <w:t xml:space="preserve">Operating on the </w:t>
      </w:r>
      <w:r w:rsidRPr="008D7B8D">
        <w:rPr>
          <w:b/>
          <w:bCs/>
        </w:rPr>
        <w:t>Nifty LargeMidcap 250</w:t>
      </w:r>
      <w:r>
        <w:t xml:space="preserve"> universe, Strategy #2 captures mid-cap momentum while introducing Sector Concentration Governance to eliminate industry cluster risk during broad rallies.</w:t>
      </w:r>
    </w:p>
    <w:p w14:paraId="644F5F57" w14:textId="77777777" w:rsidR="00CA4115" w:rsidRDefault="00000000">
      <w:pPr>
        <w:pStyle w:val="ListBullet"/>
        <w:spacing w:after="80"/>
      </w:pPr>
      <w:r>
        <w:rPr>
          <w:b/>
        </w:rPr>
        <w:t>ATR Volatility Contraction followed by a 2.0x volume-backed expansion.</w:t>
      </w:r>
    </w:p>
    <w:p w14:paraId="54096E9C" w14:textId="77777777" w:rsidR="00CA4115" w:rsidRDefault="00000000">
      <w:pPr>
        <w:pStyle w:val="ListBullet"/>
        <w:spacing w:after="80"/>
      </w:pPr>
      <w:r>
        <w:rPr>
          <w:b/>
        </w:rPr>
        <w:t>Underlying Sector Index must trade above its 50-day SMA.</w:t>
      </w:r>
    </w:p>
    <w:p w14:paraId="08E546FE" w14:textId="77777777" w:rsidR="00CA4115" w:rsidRDefault="00000000">
      <w:pPr>
        <w:pStyle w:val="ListBullet"/>
        <w:spacing w:after="80"/>
      </w:pPr>
      <w:r>
        <w:rPr>
          <w:b/>
        </w:rPr>
        <w:t>Max 3 open positions per sector allowed simultaneously (prevents over-exposure to a single sector).</w:t>
      </w:r>
    </w:p>
    <w:p w14:paraId="5EE13C76" w14:textId="77777777" w:rsidR="00CA4115" w:rsidRDefault="00000000">
      <w:pPr>
        <w:pStyle w:val="ListBullet"/>
        <w:spacing w:after="80"/>
      </w:pPr>
      <w:r>
        <w:rPr>
          <w:b/>
        </w:rPr>
        <w:t>2 x ATR(14) volatility stop loss. 1:2.5 Risk-to-Reward ratio.</w:t>
      </w:r>
    </w:p>
    <w:p w14:paraId="01D971EF" w14:textId="77777777" w:rsidR="00CA4115" w:rsidRDefault="00000000">
      <w:pPr>
        <w:keepNext/>
        <w:spacing w:before="280" w:after="120"/>
      </w:pPr>
      <w:r>
        <w:rPr>
          <w:b/>
          <w:color w:val="2E75B6"/>
          <w:sz w:val="28"/>
        </w:rPr>
        <w:lastRenderedPageBreak/>
        <w:t>Strategy #3: Hybrid Optimal Swing</w:t>
      </w:r>
    </w:p>
    <w:p w14:paraId="0DF482FE" w14:textId="77777777" w:rsidR="00CA4115" w:rsidRDefault="00000000">
      <w:pPr>
        <w:spacing w:after="120"/>
      </w:pPr>
      <w:r>
        <w:t>Strategy #3 is a high-win-rate swing pullback engine operating on the Top 50 Champions Pool. It buys short-term dip pullbacks near 20-day EMA support during established uptrends.</w:t>
      </w:r>
    </w:p>
    <w:p w14:paraId="78520158" w14:textId="77777777" w:rsidR="00CA4115" w:rsidRDefault="00000000">
      <w:pPr>
        <w:pStyle w:val="ListBullet"/>
        <w:spacing w:after="80"/>
      </w:pPr>
      <w:r>
        <w:rPr>
          <w:b/>
        </w:rPr>
        <w:t>Price touches 20-day EMA support with RSI(14) pullbacks between 40 and 50.</w:t>
      </w:r>
    </w:p>
    <w:p w14:paraId="7D0A9137" w14:textId="77777777" w:rsidR="00CA4115" w:rsidRDefault="00000000">
      <w:pPr>
        <w:pStyle w:val="ListBullet"/>
        <w:spacing w:after="80"/>
      </w:pPr>
      <w:r>
        <w:rPr>
          <w:b/>
        </w:rPr>
        <w:t>MACD line crosses above Signal line with expanding histogram.</w:t>
      </w:r>
    </w:p>
    <w:p w14:paraId="1971DBC0" w14:textId="77777777" w:rsidR="00CA4115" w:rsidRDefault="00000000">
      <w:pPr>
        <w:pStyle w:val="ListBullet"/>
        <w:spacing w:after="80"/>
      </w:pPr>
      <w:r>
        <w:rPr>
          <w:b/>
        </w:rPr>
        <w:t>Fixed +6.0% profit target, fixed -4.0% stop loss (1:1.5 R:R). Short holding horizon of 3 to 10 trading days.</w:t>
      </w:r>
    </w:p>
    <w:p w14:paraId="40081676" w14:textId="77777777" w:rsidR="00CA4115" w:rsidRDefault="00000000">
      <w:pPr>
        <w:keepNext/>
        <w:spacing w:before="280" w:after="120"/>
      </w:pPr>
      <w:r>
        <w:rPr>
          <w:b/>
          <w:color w:val="2E75B6"/>
          <w:sz w:val="28"/>
        </w:rPr>
        <w:t>Strategy #4: Systematic Liquid ETF Swing</w:t>
      </w:r>
    </w:p>
    <w:p w14:paraId="1152922C" w14:textId="77777777" w:rsidR="00CA4115" w:rsidRDefault="00000000">
      <w:pPr>
        <w:spacing w:after="120"/>
      </w:pPr>
      <w:r>
        <w:t>A low-beta, high-probability capital preservation engine operating on 20 highly liquid NSE ETFs (NIFTYBEES, BANKBEES, ITBEES, GOLDBEES, JUNIORBEES, etc.).</w:t>
      </w:r>
    </w:p>
    <w:p w14:paraId="27BE6BA4" w14:textId="77777777" w:rsidR="00CA4115" w:rsidRDefault="00000000">
      <w:pPr>
        <w:pStyle w:val="ListBullet"/>
        <w:spacing w:after="80"/>
      </w:pPr>
      <w:r>
        <w:rPr>
          <w:b/>
        </w:rPr>
        <w:t>0% Buy STT, 0.001% Sell STT, and ₹0 DP charges.</w:t>
      </w:r>
    </w:p>
    <w:p w14:paraId="4F343B42" w14:textId="77777777" w:rsidR="00CA4115" w:rsidRDefault="00000000">
      <w:pPr>
        <w:pStyle w:val="ListBullet"/>
        <w:spacing w:after="80"/>
      </w:pPr>
      <w:r>
        <w:rPr>
          <w:b/>
        </w:rPr>
        <w:t>ETF price touches 20-day EMA with RSI(14) &lt;= 45. Minimum daily trading volume &gt; ₹5 Crores.</w:t>
      </w:r>
    </w:p>
    <w:p w14:paraId="21D23429" w14:textId="77777777" w:rsidR="00CA4115" w:rsidRDefault="00000000">
      <w:pPr>
        <w:pStyle w:val="ListBullet"/>
        <w:spacing w:after="80"/>
      </w:pPr>
      <w:r>
        <w:rPr>
          <w:b/>
        </w:rPr>
        <w:t>Target +4.0% to +5.0%, Stop Loss -2.5% to -3.0%. Win rate: 82% to 88%. Lowest historical maximum drawdown (-4.1%).</w:t>
      </w:r>
    </w:p>
    <w:p w14:paraId="1827D2ED" w14:textId="77777777" w:rsidR="00CA4115" w:rsidRDefault="00000000">
      <w:pPr>
        <w:keepNext/>
        <w:spacing w:before="280" w:after="120"/>
      </w:pPr>
      <w:r>
        <w:rPr>
          <w:b/>
          <w:color w:val="2E75B6"/>
          <w:sz w:val="28"/>
        </w:rPr>
        <w:t>Strategy #5: Manage-Dhan-Portfolio (MDP V2) &amp; Capital Recycling</w:t>
      </w:r>
    </w:p>
    <w:p w14:paraId="4AD39342" w14:textId="77777777" w:rsidR="00CA4115" w:rsidRDefault="00000000">
      <w:pPr>
        <w:spacing w:after="120"/>
      </w:pPr>
      <w:r>
        <w:t>Strategy #5 acts as an autonomous portfolio auditor connected directly to the Dhan broker platform. It continuously monitors live holdings, prunes decaying or target-reached positions, and recycles freed capital.</w:t>
      </w:r>
    </w:p>
    <w:p w14:paraId="31C5178E" w14:textId="77777777" w:rsidR="00CA4115" w:rsidRDefault="00000000">
      <w:pPr>
        <w:pStyle w:val="ListBullet"/>
        <w:spacing w:after="80"/>
      </w:pPr>
      <w:r>
        <w:rPr>
          <w:b/>
        </w:rPr>
        <w:t>Classifies holdings into PROFIT_TARGET_REACHED (+10%), STOP_LOSS_TRIGGERED (-7%), or HOLD_AND_MONITOR.</w:t>
      </w:r>
    </w:p>
    <w:p w14:paraId="71256E7C" w14:textId="77777777" w:rsidR="00CA4115" w:rsidRDefault="00000000">
      <w:pPr>
        <w:pStyle w:val="ListBullet"/>
        <w:spacing w:after="80"/>
      </w:pPr>
      <w:r>
        <w:rPr>
          <w:b/>
        </w:rPr>
        <w:t>Automatically reallocates freed capital: 30% to Strategy #1, 30% to Strategy #2, 20% to Strategy #3, and 20% to Strategy #4.</w:t>
      </w:r>
    </w:p>
    <w:p w14:paraId="440C8B53" w14:textId="77777777" w:rsidR="00CA4115" w:rsidRDefault="00000000">
      <w:pPr>
        <w:keepNext/>
        <w:spacing w:before="360" w:after="160"/>
      </w:pPr>
      <w:r>
        <w:rPr>
          <w:b/>
          <w:color w:val="1F4E78"/>
          <w:sz w:val="36"/>
        </w:rPr>
        <w:t>3. Master Comparative Matrix</w:t>
      </w:r>
    </w:p>
    <w:p w14:paraId="3049C7CB" w14:textId="77777777" w:rsidR="00CA4115" w:rsidRDefault="00000000">
      <w:r>
        <w:t>The table below presents a side-by-side technical comparison of all 5 strategies: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A4115" w14:paraId="11093D7A" w14:textId="77777777">
        <w:trPr>
          <w:jc w:val="center"/>
        </w:trPr>
        <w:tc>
          <w:tcPr>
            <w:tcW w:w="1560" w:type="dxa"/>
            <w:shd w:val="clear" w:color="auto" w:fill="1F4E78"/>
          </w:tcPr>
          <w:p w14:paraId="19828C04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w="1560" w:type="dxa"/>
            <w:shd w:val="clear" w:color="auto" w:fill="1F4E78"/>
          </w:tcPr>
          <w:p w14:paraId="4042440E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#1: Classic Breakout</w:t>
            </w:r>
          </w:p>
        </w:tc>
        <w:tc>
          <w:tcPr>
            <w:tcW w:w="1560" w:type="dxa"/>
            <w:shd w:val="clear" w:color="auto" w:fill="1F4E78"/>
          </w:tcPr>
          <w:p w14:paraId="49399551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#2: Dynamic ATR Sector</w:t>
            </w:r>
          </w:p>
        </w:tc>
        <w:tc>
          <w:tcPr>
            <w:tcW w:w="1560" w:type="dxa"/>
            <w:shd w:val="clear" w:color="auto" w:fill="1F4E78"/>
          </w:tcPr>
          <w:p w14:paraId="41222229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#3: Hybrid Optimal</w:t>
            </w:r>
          </w:p>
        </w:tc>
        <w:tc>
          <w:tcPr>
            <w:tcW w:w="1560" w:type="dxa"/>
            <w:shd w:val="clear" w:color="auto" w:fill="1F4E78"/>
          </w:tcPr>
          <w:p w14:paraId="558561A6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#4: Systematic ETF</w:t>
            </w:r>
          </w:p>
        </w:tc>
        <w:tc>
          <w:tcPr>
            <w:tcW w:w="1560" w:type="dxa"/>
            <w:shd w:val="clear" w:color="auto" w:fill="1F4E78"/>
          </w:tcPr>
          <w:p w14:paraId="79000693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#5: MDP Recycler</w:t>
            </w:r>
          </w:p>
        </w:tc>
      </w:tr>
      <w:tr w:rsidR="00CA4115" w14:paraId="012D34EC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2A881F67" w14:textId="77777777" w:rsidR="00CA4115" w:rsidRDefault="00000000">
            <w:r>
              <w:rPr>
                <w:b/>
                <w:sz w:val="18"/>
              </w:rPr>
              <w:t>Primary Style</w:t>
            </w:r>
          </w:p>
        </w:tc>
        <w:tc>
          <w:tcPr>
            <w:tcW w:w="1560" w:type="dxa"/>
            <w:shd w:val="clear" w:color="auto" w:fill="F2F4F7"/>
          </w:tcPr>
          <w:p w14:paraId="43298118" w14:textId="77777777" w:rsidR="00CA4115" w:rsidRDefault="00000000">
            <w:pPr>
              <w:jc w:val="center"/>
            </w:pPr>
            <w:r>
              <w:rPr>
                <w:sz w:val="18"/>
              </w:rPr>
              <w:t>Trend Breakout</w:t>
            </w:r>
          </w:p>
        </w:tc>
        <w:tc>
          <w:tcPr>
            <w:tcW w:w="1560" w:type="dxa"/>
            <w:shd w:val="clear" w:color="auto" w:fill="F2F4F7"/>
          </w:tcPr>
          <w:p w14:paraId="2A4A44EB" w14:textId="77777777" w:rsidR="00CA4115" w:rsidRDefault="00000000">
            <w:pPr>
              <w:jc w:val="center"/>
            </w:pPr>
            <w:r>
              <w:rPr>
                <w:sz w:val="18"/>
              </w:rPr>
              <w:t>Volatility &amp; Sector</w:t>
            </w:r>
          </w:p>
        </w:tc>
        <w:tc>
          <w:tcPr>
            <w:tcW w:w="1560" w:type="dxa"/>
            <w:shd w:val="clear" w:color="auto" w:fill="F2F4F7"/>
          </w:tcPr>
          <w:p w14:paraId="7E42C4FB" w14:textId="77777777" w:rsidR="00CA4115" w:rsidRDefault="00000000">
            <w:pPr>
              <w:jc w:val="center"/>
            </w:pPr>
            <w:r>
              <w:rPr>
                <w:sz w:val="18"/>
              </w:rPr>
              <w:t>RSI Pullback / Dip Buy</w:t>
            </w:r>
          </w:p>
        </w:tc>
        <w:tc>
          <w:tcPr>
            <w:tcW w:w="1560" w:type="dxa"/>
            <w:shd w:val="clear" w:color="auto" w:fill="F2F4F7"/>
          </w:tcPr>
          <w:p w14:paraId="628BDAAD" w14:textId="77777777" w:rsidR="00CA4115" w:rsidRDefault="00000000">
            <w:pPr>
              <w:jc w:val="center"/>
            </w:pPr>
            <w:r>
              <w:rPr>
                <w:sz w:val="18"/>
              </w:rPr>
              <w:t>Asset Rotation</w:t>
            </w:r>
          </w:p>
        </w:tc>
        <w:tc>
          <w:tcPr>
            <w:tcW w:w="1560" w:type="dxa"/>
            <w:shd w:val="clear" w:color="auto" w:fill="F2F4F7"/>
          </w:tcPr>
          <w:p w14:paraId="2A5104AD" w14:textId="77777777" w:rsidR="00CA4115" w:rsidRDefault="00000000">
            <w:pPr>
              <w:jc w:val="center"/>
            </w:pPr>
            <w:r>
              <w:rPr>
                <w:sz w:val="18"/>
              </w:rPr>
              <w:t>Portfolio Audit &amp; Recycling</w:t>
            </w:r>
          </w:p>
        </w:tc>
      </w:tr>
      <w:tr w:rsidR="00CA4115" w14:paraId="5231C1F6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3E53ED91" w14:textId="77777777" w:rsidR="00CA4115" w:rsidRDefault="00000000">
            <w:r>
              <w:rPr>
                <w:b/>
                <w:sz w:val="18"/>
              </w:rPr>
              <w:t>Target Universe</w:t>
            </w:r>
          </w:p>
        </w:tc>
        <w:tc>
          <w:tcPr>
            <w:tcW w:w="1560" w:type="dxa"/>
            <w:shd w:val="clear" w:color="auto" w:fill="FFFFFF"/>
          </w:tcPr>
          <w:p w14:paraId="34CDB77C" w14:textId="77777777" w:rsidR="00CA4115" w:rsidRDefault="00000000">
            <w:pPr>
              <w:jc w:val="center"/>
            </w:pPr>
            <w:r>
              <w:rPr>
                <w:sz w:val="18"/>
              </w:rPr>
              <w:t>Nifty 50 Blue-Chips</w:t>
            </w:r>
          </w:p>
        </w:tc>
        <w:tc>
          <w:tcPr>
            <w:tcW w:w="1560" w:type="dxa"/>
            <w:shd w:val="clear" w:color="auto" w:fill="FFFFFF"/>
          </w:tcPr>
          <w:p w14:paraId="5304CCE3" w14:textId="77777777" w:rsidR="00CA4115" w:rsidRDefault="00000000">
            <w:pPr>
              <w:jc w:val="center"/>
            </w:pPr>
            <w:r>
              <w:rPr>
                <w:sz w:val="18"/>
              </w:rPr>
              <w:t>Nifty LargeMidcap 250</w:t>
            </w:r>
          </w:p>
        </w:tc>
        <w:tc>
          <w:tcPr>
            <w:tcW w:w="1560" w:type="dxa"/>
            <w:shd w:val="clear" w:color="auto" w:fill="FFFFFF"/>
          </w:tcPr>
          <w:p w14:paraId="7A350D2F" w14:textId="77777777" w:rsidR="00CA4115" w:rsidRDefault="00000000">
            <w:pPr>
              <w:jc w:val="center"/>
            </w:pPr>
            <w:r>
              <w:rPr>
                <w:sz w:val="18"/>
              </w:rPr>
              <w:t>Top 50 Champions Pool</w:t>
            </w:r>
          </w:p>
        </w:tc>
        <w:tc>
          <w:tcPr>
            <w:tcW w:w="1560" w:type="dxa"/>
            <w:shd w:val="clear" w:color="auto" w:fill="FFFFFF"/>
          </w:tcPr>
          <w:p w14:paraId="6047B36B" w14:textId="77777777" w:rsidR="00CA4115" w:rsidRDefault="00000000">
            <w:pPr>
              <w:jc w:val="center"/>
            </w:pPr>
            <w:r>
              <w:rPr>
                <w:sz w:val="18"/>
              </w:rPr>
              <w:t>20 Liquid NSE ETFs</w:t>
            </w:r>
          </w:p>
        </w:tc>
        <w:tc>
          <w:tcPr>
            <w:tcW w:w="1560" w:type="dxa"/>
            <w:shd w:val="clear" w:color="auto" w:fill="FFFFFF"/>
          </w:tcPr>
          <w:p w14:paraId="39BAE6B7" w14:textId="77777777" w:rsidR="00CA4115" w:rsidRDefault="00000000">
            <w:pPr>
              <w:jc w:val="center"/>
            </w:pPr>
            <w:r>
              <w:rPr>
                <w:sz w:val="18"/>
              </w:rPr>
              <w:t>Total Dhan Broker Portfolio</w:t>
            </w:r>
          </w:p>
        </w:tc>
      </w:tr>
      <w:tr w:rsidR="00CA4115" w14:paraId="6D8B67F8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59EADF25" w14:textId="77777777" w:rsidR="00CA4115" w:rsidRDefault="00000000">
            <w:r>
              <w:rPr>
                <w:b/>
                <w:sz w:val="18"/>
              </w:rPr>
              <w:t>Volume Filter</w:t>
            </w:r>
          </w:p>
        </w:tc>
        <w:tc>
          <w:tcPr>
            <w:tcW w:w="1560" w:type="dxa"/>
            <w:shd w:val="clear" w:color="auto" w:fill="F2F4F7"/>
          </w:tcPr>
          <w:p w14:paraId="227F740C" w14:textId="77777777" w:rsidR="00CA4115" w:rsidRDefault="00000000">
            <w:pPr>
              <w:jc w:val="center"/>
            </w:pPr>
            <w:r>
              <w:rPr>
                <w:sz w:val="18"/>
              </w:rPr>
              <w:t>&gt; 2.5x 20-Day Avg</w:t>
            </w:r>
          </w:p>
        </w:tc>
        <w:tc>
          <w:tcPr>
            <w:tcW w:w="1560" w:type="dxa"/>
            <w:shd w:val="clear" w:color="auto" w:fill="F2F4F7"/>
          </w:tcPr>
          <w:p w14:paraId="0E93AF87" w14:textId="77777777" w:rsidR="00CA4115" w:rsidRDefault="00000000">
            <w:pPr>
              <w:jc w:val="center"/>
            </w:pPr>
            <w:r>
              <w:rPr>
                <w:sz w:val="18"/>
              </w:rPr>
              <w:t>&gt; 2.0x 20-Day Avg</w:t>
            </w:r>
          </w:p>
        </w:tc>
        <w:tc>
          <w:tcPr>
            <w:tcW w:w="1560" w:type="dxa"/>
            <w:shd w:val="clear" w:color="auto" w:fill="F2F4F7"/>
          </w:tcPr>
          <w:p w14:paraId="52C1863D" w14:textId="77777777" w:rsidR="00CA4115" w:rsidRDefault="00000000">
            <w:pPr>
              <w:jc w:val="center"/>
            </w:pPr>
            <w:r>
              <w:rPr>
                <w:sz w:val="18"/>
              </w:rPr>
              <w:t>N/A (Price Action)</w:t>
            </w:r>
          </w:p>
        </w:tc>
        <w:tc>
          <w:tcPr>
            <w:tcW w:w="1560" w:type="dxa"/>
            <w:shd w:val="clear" w:color="auto" w:fill="F2F4F7"/>
          </w:tcPr>
          <w:p w14:paraId="6547B4D7" w14:textId="77777777" w:rsidR="00CA4115" w:rsidRDefault="00000000">
            <w:pPr>
              <w:jc w:val="center"/>
            </w:pPr>
            <w:r>
              <w:rPr>
                <w:sz w:val="18"/>
              </w:rPr>
              <w:t xml:space="preserve">High Liquidity </w:t>
            </w:r>
            <w:r>
              <w:rPr>
                <w:sz w:val="18"/>
              </w:rPr>
              <w:lastRenderedPageBreak/>
              <w:t>(&gt;₹5 Cr)</w:t>
            </w:r>
          </w:p>
        </w:tc>
        <w:tc>
          <w:tcPr>
            <w:tcW w:w="1560" w:type="dxa"/>
            <w:shd w:val="clear" w:color="auto" w:fill="F2F4F7"/>
          </w:tcPr>
          <w:p w14:paraId="0AF17E6A" w14:textId="77777777" w:rsidR="00CA4115" w:rsidRDefault="00000000">
            <w:pPr>
              <w:jc w:val="center"/>
            </w:pPr>
            <w:r>
              <w:rPr>
                <w:sz w:val="18"/>
              </w:rPr>
              <w:lastRenderedPageBreak/>
              <w:t>N/A</w:t>
            </w:r>
          </w:p>
        </w:tc>
      </w:tr>
      <w:tr w:rsidR="00CA4115" w14:paraId="2C5A1697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18208F88" w14:textId="77777777" w:rsidR="00CA4115" w:rsidRDefault="00000000">
            <w:r>
              <w:rPr>
                <w:b/>
                <w:sz w:val="18"/>
              </w:rPr>
              <w:t>RSI Filter</w:t>
            </w:r>
          </w:p>
        </w:tc>
        <w:tc>
          <w:tcPr>
            <w:tcW w:w="1560" w:type="dxa"/>
            <w:shd w:val="clear" w:color="auto" w:fill="FFFFFF"/>
          </w:tcPr>
          <w:p w14:paraId="342F0064" w14:textId="77777777" w:rsidR="00CA4115" w:rsidRDefault="00000000">
            <w:pPr>
              <w:jc w:val="center"/>
            </w:pPr>
            <w:r>
              <w:rPr>
                <w:sz w:val="18"/>
              </w:rPr>
              <w:t>50 &lt;= RSI &lt;= 70</w:t>
            </w:r>
          </w:p>
        </w:tc>
        <w:tc>
          <w:tcPr>
            <w:tcW w:w="1560" w:type="dxa"/>
            <w:shd w:val="clear" w:color="auto" w:fill="FFFFFF"/>
          </w:tcPr>
          <w:p w14:paraId="0A2EC7B6" w14:textId="77777777" w:rsidR="00CA4115" w:rsidRDefault="00000000">
            <w:pPr>
              <w:jc w:val="center"/>
            </w:pPr>
            <w:r>
              <w:rPr>
                <w:sz w:val="18"/>
              </w:rPr>
              <w:t>Trend Confirmation</w:t>
            </w:r>
          </w:p>
        </w:tc>
        <w:tc>
          <w:tcPr>
            <w:tcW w:w="1560" w:type="dxa"/>
            <w:shd w:val="clear" w:color="auto" w:fill="FFFFFF"/>
          </w:tcPr>
          <w:p w14:paraId="3FB03A41" w14:textId="77777777" w:rsidR="00CA4115" w:rsidRDefault="00000000">
            <w:pPr>
              <w:jc w:val="center"/>
            </w:pPr>
            <w:r>
              <w:rPr>
                <w:sz w:val="18"/>
              </w:rPr>
              <w:t>40 &lt;= RSI &lt;= 50</w:t>
            </w:r>
          </w:p>
        </w:tc>
        <w:tc>
          <w:tcPr>
            <w:tcW w:w="1560" w:type="dxa"/>
            <w:shd w:val="clear" w:color="auto" w:fill="FFFFFF"/>
          </w:tcPr>
          <w:p w14:paraId="66B79EBC" w14:textId="77777777" w:rsidR="00CA4115" w:rsidRDefault="00000000">
            <w:pPr>
              <w:jc w:val="center"/>
            </w:pPr>
            <w:r>
              <w:rPr>
                <w:sz w:val="18"/>
              </w:rPr>
              <w:t>RSI &lt;= 45</w:t>
            </w:r>
          </w:p>
        </w:tc>
        <w:tc>
          <w:tcPr>
            <w:tcW w:w="1560" w:type="dxa"/>
            <w:shd w:val="clear" w:color="auto" w:fill="FFFFFF"/>
          </w:tcPr>
          <w:p w14:paraId="2D518B4F" w14:textId="77777777" w:rsidR="00CA4115" w:rsidRDefault="00000000">
            <w:pPr>
              <w:jc w:val="center"/>
            </w:pPr>
            <w:r>
              <w:rPr>
                <w:sz w:val="18"/>
              </w:rPr>
              <w:t>Dynamic Monitoring</w:t>
            </w:r>
          </w:p>
        </w:tc>
      </w:tr>
      <w:tr w:rsidR="00CA4115" w14:paraId="10EA0A8A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17215DDF" w14:textId="77777777" w:rsidR="00CA4115" w:rsidRDefault="00000000">
            <w:r>
              <w:rPr>
                <w:b/>
                <w:sz w:val="18"/>
              </w:rPr>
              <w:t>Stop Loss</w:t>
            </w:r>
          </w:p>
        </w:tc>
        <w:tc>
          <w:tcPr>
            <w:tcW w:w="1560" w:type="dxa"/>
            <w:shd w:val="clear" w:color="auto" w:fill="F2F4F7"/>
          </w:tcPr>
          <w:p w14:paraId="761B04A2" w14:textId="77777777" w:rsidR="00CA4115" w:rsidRDefault="00000000">
            <w:pPr>
              <w:jc w:val="center"/>
            </w:pPr>
            <w:r>
              <w:rPr>
                <w:sz w:val="18"/>
              </w:rPr>
              <w:t>2x ATR(14) Volatility</w:t>
            </w:r>
          </w:p>
        </w:tc>
        <w:tc>
          <w:tcPr>
            <w:tcW w:w="1560" w:type="dxa"/>
            <w:shd w:val="clear" w:color="auto" w:fill="F2F4F7"/>
          </w:tcPr>
          <w:p w14:paraId="058DA5C7" w14:textId="77777777" w:rsidR="00CA4115" w:rsidRDefault="00000000">
            <w:pPr>
              <w:jc w:val="center"/>
            </w:pPr>
            <w:r>
              <w:rPr>
                <w:sz w:val="18"/>
              </w:rPr>
              <w:t>2x ATR(14) Volatility</w:t>
            </w:r>
          </w:p>
        </w:tc>
        <w:tc>
          <w:tcPr>
            <w:tcW w:w="1560" w:type="dxa"/>
            <w:shd w:val="clear" w:color="auto" w:fill="F2F4F7"/>
          </w:tcPr>
          <w:p w14:paraId="261D7E90" w14:textId="77777777" w:rsidR="00CA4115" w:rsidRDefault="00000000">
            <w:pPr>
              <w:jc w:val="center"/>
            </w:pPr>
            <w:r>
              <w:rPr>
                <w:sz w:val="18"/>
              </w:rPr>
              <w:t>Fixed -4.0%</w:t>
            </w:r>
          </w:p>
        </w:tc>
        <w:tc>
          <w:tcPr>
            <w:tcW w:w="1560" w:type="dxa"/>
            <w:shd w:val="clear" w:color="auto" w:fill="F2F4F7"/>
          </w:tcPr>
          <w:p w14:paraId="548D27CA" w14:textId="77777777" w:rsidR="00CA4115" w:rsidRDefault="00000000">
            <w:pPr>
              <w:jc w:val="center"/>
            </w:pPr>
            <w:r>
              <w:rPr>
                <w:sz w:val="18"/>
              </w:rPr>
              <w:t>Fixed -2.5% to -3.0%</w:t>
            </w:r>
          </w:p>
        </w:tc>
        <w:tc>
          <w:tcPr>
            <w:tcW w:w="1560" w:type="dxa"/>
            <w:shd w:val="clear" w:color="auto" w:fill="F2F4F7"/>
          </w:tcPr>
          <w:p w14:paraId="463C432E" w14:textId="77777777" w:rsidR="00CA4115" w:rsidRDefault="00000000">
            <w:pPr>
              <w:jc w:val="center"/>
            </w:pPr>
            <w:r>
              <w:rPr>
                <w:sz w:val="18"/>
              </w:rPr>
              <w:t>User Threshold (-7%)</w:t>
            </w:r>
          </w:p>
        </w:tc>
      </w:tr>
      <w:tr w:rsidR="00CA4115" w14:paraId="4BDDE7F5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7DA306E7" w14:textId="77777777" w:rsidR="00CA4115" w:rsidRDefault="00000000">
            <w:r>
              <w:rPr>
                <w:b/>
                <w:sz w:val="18"/>
              </w:rPr>
              <w:t>Profit Target</w:t>
            </w:r>
          </w:p>
        </w:tc>
        <w:tc>
          <w:tcPr>
            <w:tcW w:w="1560" w:type="dxa"/>
            <w:shd w:val="clear" w:color="auto" w:fill="FFFFFF"/>
          </w:tcPr>
          <w:p w14:paraId="724CC3A7" w14:textId="77777777" w:rsidR="00CA4115" w:rsidRDefault="00000000">
            <w:pPr>
              <w:jc w:val="center"/>
            </w:pPr>
            <w:r>
              <w:rPr>
                <w:sz w:val="18"/>
              </w:rPr>
              <w:t>1 : 2.0 R:R</w:t>
            </w:r>
          </w:p>
        </w:tc>
        <w:tc>
          <w:tcPr>
            <w:tcW w:w="1560" w:type="dxa"/>
            <w:shd w:val="clear" w:color="auto" w:fill="FFFFFF"/>
          </w:tcPr>
          <w:p w14:paraId="05FAC1B3" w14:textId="77777777" w:rsidR="00CA4115" w:rsidRDefault="00000000">
            <w:pPr>
              <w:jc w:val="center"/>
            </w:pPr>
            <w:r>
              <w:rPr>
                <w:sz w:val="18"/>
              </w:rPr>
              <w:t>1 : 2.5 R:R</w:t>
            </w:r>
          </w:p>
        </w:tc>
        <w:tc>
          <w:tcPr>
            <w:tcW w:w="1560" w:type="dxa"/>
            <w:shd w:val="clear" w:color="auto" w:fill="FFFFFF"/>
          </w:tcPr>
          <w:p w14:paraId="7FE5B662" w14:textId="77777777" w:rsidR="00CA4115" w:rsidRDefault="00000000">
            <w:pPr>
              <w:jc w:val="center"/>
            </w:pPr>
            <w:r>
              <w:rPr>
                <w:sz w:val="18"/>
              </w:rPr>
              <w:t>Fixed +6.0%</w:t>
            </w:r>
          </w:p>
        </w:tc>
        <w:tc>
          <w:tcPr>
            <w:tcW w:w="1560" w:type="dxa"/>
            <w:shd w:val="clear" w:color="auto" w:fill="FFFFFF"/>
          </w:tcPr>
          <w:p w14:paraId="2A92BCF2" w14:textId="77777777" w:rsidR="00CA4115" w:rsidRDefault="00000000">
            <w:pPr>
              <w:jc w:val="center"/>
            </w:pPr>
            <w:r>
              <w:rPr>
                <w:sz w:val="18"/>
              </w:rPr>
              <w:t>+4.0% to +5.0%</w:t>
            </w:r>
          </w:p>
        </w:tc>
        <w:tc>
          <w:tcPr>
            <w:tcW w:w="1560" w:type="dxa"/>
            <w:shd w:val="clear" w:color="auto" w:fill="FFFFFF"/>
          </w:tcPr>
          <w:p w14:paraId="5A6766C1" w14:textId="77777777" w:rsidR="00CA4115" w:rsidRDefault="00000000">
            <w:pPr>
              <w:jc w:val="center"/>
            </w:pPr>
            <w:r>
              <w:rPr>
                <w:sz w:val="18"/>
              </w:rPr>
              <w:t>User Threshold (+10%)</w:t>
            </w:r>
          </w:p>
        </w:tc>
      </w:tr>
      <w:tr w:rsidR="00CA4115" w14:paraId="5EE436E3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1B1886C9" w14:textId="77777777" w:rsidR="00CA4115" w:rsidRDefault="00000000">
            <w:r>
              <w:rPr>
                <w:b/>
                <w:sz w:val="18"/>
              </w:rPr>
              <w:t>Sector Cap</w:t>
            </w:r>
          </w:p>
        </w:tc>
        <w:tc>
          <w:tcPr>
            <w:tcW w:w="1560" w:type="dxa"/>
            <w:shd w:val="clear" w:color="auto" w:fill="F2F4F7"/>
          </w:tcPr>
          <w:p w14:paraId="16F78C43" w14:textId="77777777" w:rsidR="00CA4115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w="1560" w:type="dxa"/>
            <w:shd w:val="clear" w:color="auto" w:fill="F2F4F7"/>
          </w:tcPr>
          <w:p w14:paraId="31CCA581" w14:textId="77777777" w:rsidR="00CA4115" w:rsidRDefault="00000000">
            <w:pPr>
              <w:jc w:val="center"/>
            </w:pPr>
            <w:r>
              <w:rPr>
                <w:sz w:val="18"/>
              </w:rPr>
              <w:t>Max 3 Stocks / Sector</w:t>
            </w:r>
          </w:p>
        </w:tc>
        <w:tc>
          <w:tcPr>
            <w:tcW w:w="1560" w:type="dxa"/>
            <w:shd w:val="clear" w:color="auto" w:fill="F2F4F7"/>
          </w:tcPr>
          <w:p w14:paraId="12F6246D" w14:textId="77777777" w:rsidR="00CA4115" w:rsidRDefault="00000000">
            <w:pPr>
              <w:jc w:val="center"/>
            </w:pPr>
            <w:r>
              <w:rPr>
                <w:sz w:val="18"/>
              </w:rPr>
              <w:t>Max 3 Stocks / Industry</w:t>
            </w:r>
          </w:p>
        </w:tc>
        <w:tc>
          <w:tcPr>
            <w:tcW w:w="1560" w:type="dxa"/>
            <w:shd w:val="clear" w:color="auto" w:fill="F2F4F7"/>
          </w:tcPr>
          <w:p w14:paraId="07E025EB" w14:textId="77777777" w:rsidR="00CA4115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1560" w:type="dxa"/>
            <w:shd w:val="clear" w:color="auto" w:fill="F2F4F7"/>
          </w:tcPr>
          <w:p w14:paraId="3D1B6450" w14:textId="77777777" w:rsidR="00CA4115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CA4115" w14:paraId="6ED1FD6C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741A9CE5" w14:textId="77777777" w:rsidR="00CA4115" w:rsidRDefault="00000000">
            <w:r>
              <w:rPr>
                <w:b/>
                <w:sz w:val="18"/>
              </w:rPr>
              <w:t>Win Rate</w:t>
            </w:r>
          </w:p>
        </w:tc>
        <w:tc>
          <w:tcPr>
            <w:tcW w:w="1560" w:type="dxa"/>
            <w:shd w:val="clear" w:color="auto" w:fill="FFFFFF"/>
          </w:tcPr>
          <w:p w14:paraId="3C01F5C0" w14:textId="77777777" w:rsidR="00CA4115" w:rsidRDefault="00000000">
            <w:pPr>
              <w:jc w:val="center"/>
            </w:pPr>
            <w:r>
              <w:rPr>
                <w:sz w:val="18"/>
              </w:rPr>
              <w:t>65% - 72%</w:t>
            </w:r>
          </w:p>
        </w:tc>
        <w:tc>
          <w:tcPr>
            <w:tcW w:w="1560" w:type="dxa"/>
            <w:shd w:val="clear" w:color="auto" w:fill="FFFFFF"/>
          </w:tcPr>
          <w:p w14:paraId="323DAAA1" w14:textId="77777777" w:rsidR="00CA4115" w:rsidRDefault="00000000">
            <w:pPr>
              <w:jc w:val="center"/>
            </w:pPr>
            <w:r>
              <w:rPr>
                <w:sz w:val="18"/>
              </w:rPr>
              <w:t>70% - 75%</w:t>
            </w:r>
          </w:p>
        </w:tc>
        <w:tc>
          <w:tcPr>
            <w:tcW w:w="1560" w:type="dxa"/>
            <w:shd w:val="clear" w:color="auto" w:fill="FFFFFF"/>
          </w:tcPr>
          <w:p w14:paraId="02C7C134" w14:textId="77777777" w:rsidR="00CA4115" w:rsidRDefault="00000000">
            <w:pPr>
              <w:jc w:val="center"/>
            </w:pPr>
            <w:r>
              <w:rPr>
                <w:sz w:val="18"/>
              </w:rPr>
              <w:t>72% - 78%</w:t>
            </w:r>
          </w:p>
        </w:tc>
        <w:tc>
          <w:tcPr>
            <w:tcW w:w="1560" w:type="dxa"/>
            <w:shd w:val="clear" w:color="auto" w:fill="FFFFFF"/>
          </w:tcPr>
          <w:p w14:paraId="444B8BC8" w14:textId="77777777" w:rsidR="00CA4115" w:rsidRDefault="00000000">
            <w:pPr>
              <w:jc w:val="center"/>
            </w:pPr>
            <w:r>
              <w:rPr>
                <w:sz w:val="18"/>
              </w:rPr>
              <w:t>82% - 88%</w:t>
            </w:r>
          </w:p>
        </w:tc>
        <w:tc>
          <w:tcPr>
            <w:tcW w:w="1560" w:type="dxa"/>
            <w:shd w:val="clear" w:color="auto" w:fill="FFFFFF"/>
          </w:tcPr>
          <w:p w14:paraId="213E51B9" w14:textId="77777777" w:rsidR="00CA4115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CA4115" w14:paraId="366F80FD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08F40290" w14:textId="77777777" w:rsidR="00CA4115" w:rsidRDefault="00000000">
            <w:r>
              <w:rPr>
                <w:b/>
                <w:sz w:val="18"/>
              </w:rPr>
              <w:t>Max Drawdown</w:t>
            </w:r>
          </w:p>
        </w:tc>
        <w:tc>
          <w:tcPr>
            <w:tcW w:w="1560" w:type="dxa"/>
            <w:shd w:val="clear" w:color="auto" w:fill="F2F4F7"/>
          </w:tcPr>
          <w:p w14:paraId="1412F833" w14:textId="77777777" w:rsidR="00CA4115" w:rsidRDefault="00000000">
            <w:pPr>
              <w:jc w:val="center"/>
            </w:pPr>
            <w:r>
              <w:rPr>
                <w:sz w:val="18"/>
              </w:rPr>
              <w:t>-8.2%</w:t>
            </w:r>
          </w:p>
        </w:tc>
        <w:tc>
          <w:tcPr>
            <w:tcW w:w="1560" w:type="dxa"/>
            <w:shd w:val="clear" w:color="auto" w:fill="F2F4F7"/>
          </w:tcPr>
          <w:p w14:paraId="36C8849C" w14:textId="77777777" w:rsidR="00CA4115" w:rsidRDefault="00000000">
            <w:pPr>
              <w:jc w:val="center"/>
            </w:pPr>
            <w:r>
              <w:rPr>
                <w:sz w:val="18"/>
              </w:rPr>
              <w:t>-6.8%</w:t>
            </w:r>
          </w:p>
        </w:tc>
        <w:tc>
          <w:tcPr>
            <w:tcW w:w="1560" w:type="dxa"/>
            <w:shd w:val="clear" w:color="auto" w:fill="F2F4F7"/>
          </w:tcPr>
          <w:p w14:paraId="45942478" w14:textId="77777777" w:rsidR="00CA4115" w:rsidRDefault="00000000">
            <w:pPr>
              <w:jc w:val="center"/>
            </w:pPr>
            <w:r>
              <w:rPr>
                <w:sz w:val="18"/>
              </w:rPr>
              <w:t>-7.1%</w:t>
            </w:r>
          </w:p>
        </w:tc>
        <w:tc>
          <w:tcPr>
            <w:tcW w:w="1560" w:type="dxa"/>
            <w:shd w:val="clear" w:color="auto" w:fill="F2F4F7"/>
          </w:tcPr>
          <w:p w14:paraId="5F47FA97" w14:textId="77777777" w:rsidR="00CA4115" w:rsidRDefault="00000000">
            <w:pPr>
              <w:jc w:val="center"/>
            </w:pPr>
            <w:r>
              <w:rPr>
                <w:sz w:val="18"/>
              </w:rPr>
              <w:t>-4.1%</w:t>
            </w:r>
          </w:p>
        </w:tc>
        <w:tc>
          <w:tcPr>
            <w:tcW w:w="1560" w:type="dxa"/>
            <w:shd w:val="clear" w:color="auto" w:fill="F2F4F7"/>
          </w:tcPr>
          <w:p w14:paraId="67655B61" w14:textId="77777777" w:rsidR="00CA4115" w:rsidRDefault="00000000"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 w:rsidR="00CA4115" w14:paraId="2904F4AD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6EB44133" w14:textId="77777777" w:rsidR="00CA4115" w:rsidRDefault="00000000">
            <w:r>
              <w:rPr>
                <w:b/>
                <w:sz w:val="18"/>
              </w:rPr>
              <w:t>Tax Advantage</w:t>
            </w:r>
          </w:p>
        </w:tc>
        <w:tc>
          <w:tcPr>
            <w:tcW w:w="1560" w:type="dxa"/>
            <w:shd w:val="clear" w:color="auto" w:fill="FFFFFF"/>
          </w:tcPr>
          <w:p w14:paraId="143632D2" w14:textId="77777777" w:rsidR="00CA4115" w:rsidRDefault="00000000">
            <w:pPr>
              <w:jc w:val="center"/>
            </w:pPr>
            <w:r>
              <w:rPr>
                <w:sz w:val="18"/>
              </w:rPr>
              <w:t>Standard Equity STT</w:t>
            </w:r>
          </w:p>
        </w:tc>
        <w:tc>
          <w:tcPr>
            <w:tcW w:w="1560" w:type="dxa"/>
            <w:shd w:val="clear" w:color="auto" w:fill="FFFFFF"/>
          </w:tcPr>
          <w:p w14:paraId="7E486E56" w14:textId="77777777" w:rsidR="00CA4115" w:rsidRDefault="00000000">
            <w:pPr>
              <w:jc w:val="center"/>
            </w:pPr>
            <w:r>
              <w:rPr>
                <w:sz w:val="18"/>
              </w:rPr>
              <w:t>Standard Equity STT</w:t>
            </w:r>
          </w:p>
        </w:tc>
        <w:tc>
          <w:tcPr>
            <w:tcW w:w="1560" w:type="dxa"/>
            <w:shd w:val="clear" w:color="auto" w:fill="FFFFFF"/>
          </w:tcPr>
          <w:p w14:paraId="3BBDE775" w14:textId="77777777" w:rsidR="00CA4115" w:rsidRDefault="00000000">
            <w:pPr>
              <w:jc w:val="center"/>
            </w:pPr>
            <w:r>
              <w:rPr>
                <w:sz w:val="18"/>
              </w:rPr>
              <w:t>Standard Equity STT</w:t>
            </w:r>
          </w:p>
        </w:tc>
        <w:tc>
          <w:tcPr>
            <w:tcW w:w="1560" w:type="dxa"/>
            <w:shd w:val="clear" w:color="auto" w:fill="FFFFFF"/>
          </w:tcPr>
          <w:p w14:paraId="7F65440C" w14:textId="77777777" w:rsidR="00CA4115" w:rsidRDefault="00000000">
            <w:pPr>
              <w:jc w:val="center"/>
            </w:pPr>
            <w:r>
              <w:rPr>
                <w:sz w:val="18"/>
              </w:rPr>
              <w:t>Lowest (0% Buy STT, ₹0 DP)</w:t>
            </w:r>
          </w:p>
        </w:tc>
        <w:tc>
          <w:tcPr>
            <w:tcW w:w="1560" w:type="dxa"/>
            <w:shd w:val="clear" w:color="auto" w:fill="FFFFFF"/>
          </w:tcPr>
          <w:p w14:paraId="6AF08AAD" w14:textId="77777777" w:rsidR="00CA4115" w:rsidRDefault="00000000">
            <w:pPr>
              <w:jc w:val="center"/>
            </w:pPr>
            <w:r>
              <w:rPr>
                <w:sz w:val="18"/>
              </w:rPr>
              <w:t>Optimized PnL Harvesting</w:t>
            </w:r>
          </w:p>
        </w:tc>
      </w:tr>
      <w:tr w:rsidR="00CA4115" w14:paraId="2A119029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3E2B64FE" w14:textId="77777777" w:rsidR="00CA4115" w:rsidRDefault="00000000">
            <w:r>
              <w:rPr>
                <w:b/>
                <w:sz w:val="18"/>
              </w:rPr>
              <w:t>Risk per Trade</w:t>
            </w:r>
          </w:p>
        </w:tc>
        <w:tc>
          <w:tcPr>
            <w:tcW w:w="1560" w:type="dxa"/>
            <w:shd w:val="clear" w:color="auto" w:fill="F2F4F7"/>
          </w:tcPr>
          <w:p w14:paraId="21CE3D71" w14:textId="77777777" w:rsidR="00CA4115" w:rsidRDefault="00000000">
            <w:pPr>
              <w:jc w:val="center"/>
            </w:pPr>
            <w:r>
              <w:rPr>
                <w:sz w:val="18"/>
              </w:rPr>
              <w:t>1.5% Portfolio Risk</w:t>
            </w:r>
          </w:p>
        </w:tc>
        <w:tc>
          <w:tcPr>
            <w:tcW w:w="1560" w:type="dxa"/>
            <w:shd w:val="clear" w:color="auto" w:fill="F2F4F7"/>
          </w:tcPr>
          <w:p w14:paraId="0017D160" w14:textId="77777777" w:rsidR="00CA4115" w:rsidRDefault="00000000">
            <w:pPr>
              <w:jc w:val="center"/>
            </w:pPr>
            <w:r>
              <w:rPr>
                <w:sz w:val="18"/>
              </w:rPr>
              <w:t>1.5% Portfolio Risk</w:t>
            </w:r>
          </w:p>
        </w:tc>
        <w:tc>
          <w:tcPr>
            <w:tcW w:w="1560" w:type="dxa"/>
            <w:shd w:val="clear" w:color="auto" w:fill="F2F4F7"/>
          </w:tcPr>
          <w:p w14:paraId="2CC801A1" w14:textId="77777777" w:rsidR="00CA4115" w:rsidRDefault="00000000">
            <w:pPr>
              <w:jc w:val="center"/>
            </w:pPr>
            <w:r>
              <w:rPr>
                <w:sz w:val="18"/>
              </w:rPr>
              <w:t>Dynamic Sizing</w:t>
            </w:r>
          </w:p>
        </w:tc>
        <w:tc>
          <w:tcPr>
            <w:tcW w:w="1560" w:type="dxa"/>
            <w:shd w:val="clear" w:color="auto" w:fill="F2F4F7"/>
          </w:tcPr>
          <w:p w14:paraId="0FF34859" w14:textId="77777777" w:rsidR="00CA4115" w:rsidRDefault="00000000">
            <w:pPr>
              <w:jc w:val="center"/>
            </w:pPr>
            <w:r>
              <w:rPr>
                <w:sz w:val="18"/>
              </w:rPr>
              <w:t>Asset Allocation</w:t>
            </w:r>
          </w:p>
        </w:tc>
        <w:tc>
          <w:tcPr>
            <w:tcW w:w="1560" w:type="dxa"/>
            <w:shd w:val="clear" w:color="auto" w:fill="F2F4F7"/>
          </w:tcPr>
          <w:p w14:paraId="032B2AB2" w14:textId="77777777" w:rsidR="00CA4115" w:rsidRDefault="00000000">
            <w:pPr>
              <w:jc w:val="center"/>
            </w:pPr>
            <w:r>
              <w:rPr>
                <w:sz w:val="18"/>
              </w:rPr>
              <w:t>Rebalancing Rules</w:t>
            </w:r>
          </w:p>
        </w:tc>
      </w:tr>
    </w:tbl>
    <w:p w14:paraId="7ED42FC9" w14:textId="77777777" w:rsidR="00CA4115" w:rsidRDefault="00000000">
      <w:pPr>
        <w:keepNext/>
        <w:spacing w:before="360" w:after="160"/>
      </w:pPr>
      <w:r>
        <w:rPr>
          <w:b/>
          <w:color w:val="1F4E78"/>
          <w:sz w:val="36"/>
        </w:rPr>
        <w:t>4. Market Regime Performance Matrix</w:t>
      </w:r>
    </w:p>
    <w:p w14:paraId="2D3A4062" w14:textId="77777777" w:rsidR="00CA4115" w:rsidRDefault="00000000">
      <w:r>
        <w:t>How each strategy performs across various market macro regimes: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A4115" w14:paraId="2D488D8D" w14:textId="77777777">
        <w:trPr>
          <w:jc w:val="center"/>
        </w:trPr>
        <w:tc>
          <w:tcPr>
            <w:tcW w:w="1560" w:type="dxa"/>
            <w:shd w:val="clear" w:color="auto" w:fill="2E75B6"/>
          </w:tcPr>
          <w:p w14:paraId="2EC4CDF0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Market Regime</w:t>
            </w:r>
          </w:p>
        </w:tc>
        <w:tc>
          <w:tcPr>
            <w:tcW w:w="1560" w:type="dxa"/>
            <w:shd w:val="clear" w:color="auto" w:fill="2E75B6"/>
          </w:tcPr>
          <w:p w14:paraId="4F1D3DF6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#1 (Nifty 50)</w:t>
            </w:r>
          </w:p>
        </w:tc>
        <w:tc>
          <w:tcPr>
            <w:tcW w:w="1560" w:type="dxa"/>
            <w:shd w:val="clear" w:color="auto" w:fill="2E75B6"/>
          </w:tcPr>
          <w:p w14:paraId="2FDEF50A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#2 (Sector ATR)</w:t>
            </w:r>
          </w:p>
        </w:tc>
        <w:tc>
          <w:tcPr>
            <w:tcW w:w="1560" w:type="dxa"/>
            <w:shd w:val="clear" w:color="auto" w:fill="2E75B6"/>
          </w:tcPr>
          <w:p w14:paraId="176B3EFA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#3 (Hybrid)</w:t>
            </w:r>
          </w:p>
        </w:tc>
        <w:tc>
          <w:tcPr>
            <w:tcW w:w="1560" w:type="dxa"/>
            <w:shd w:val="clear" w:color="auto" w:fill="2E75B6"/>
          </w:tcPr>
          <w:p w14:paraId="085BB518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#4 (ETF)</w:t>
            </w:r>
          </w:p>
        </w:tc>
        <w:tc>
          <w:tcPr>
            <w:tcW w:w="1560" w:type="dxa"/>
            <w:shd w:val="clear" w:color="auto" w:fill="2E75B6"/>
          </w:tcPr>
          <w:p w14:paraId="413F1D01" w14:textId="77777777" w:rsidR="00CA411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Strategy #5 (MDP)</w:t>
            </w:r>
          </w:p>
        </w:tc>
      </w:tr>
      <w:tr w:rsidR="00CA4115" w14:paraId="62C7A849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536B1A10" w14:textId="77777777" w:rsidR="00CA4115" w:rsidRDefault="00000000">
            <w:r>
              <w:rPr>
                <w:b/>
                <w:sz w:val="18"/>
              </w:rPr>
              <w:t>Strong Bull Trend</w:t>
            </w:r>
          </w:p>
        </w:tc>
        <w:tc>
          <w:tcPr>
            <w:tcW w:w="1560" w:type="dxa"/>
            <w:shd w:val="clear" w:color="auto" w:fill="F2F4F7"/>
          </w:tcPr>
          <w:p w14:paraId="4ED3A85C" w14:textId="77777777" w:rsidR="00CA4115" w:rsidRDefault="00000000">
            <w:pPr>
              <w:jc w:val="center"/>
            </w:pPr>
            <w:r>
              <w:rPr>
                <w:sz w:val="18"/>
              </w:rPr>
              <w:t>Outperforms</w:t>
            </w:r>
          </w:p>
        </w:tc>
        <w:tc>
          <w:tcPr>
            <w:tcW w:w="1560" w:type="dxa"/>
            <w:shd w:val="clear" w:color="auto" w:fill="F2F4F7"/>
          </w:tcPr>
          <w:p w14:paraId="28EEB561" w14:textId="77777777" w:rsidR="00CA4115" w:rsidRDefault="00000000">
            <w:pPr>
              <w:jc w:val="center"/>
            </w:pPr>
            <w:r>
              <w:rPr>
                <w:sz w:val="18"/>
              </w:rPr>
              <w:t>Outperforms</w:t>
            </w:r>
          </w:p>
        </w:tc>
        <w:tc>
          <w:tcPr>
            <w:tcW w:w="1560" w:type="dxa"/>
            <w:shd w:val="clear" w:color="auto" w:fill="F2F4F7"/>
          </w:tcPr>
          <w:p w14:paraId="68B1098D" w14:textId="77777777" w:rsidR="00CA4115" w:rsidRDefault="00000000">
            <w:pPr>
              <w:jc w:val="center"/>
            </w:pPr>
            <w:r>
              <w:rPr>
                <w:sz w:val="18"/>
              </w:rPr>
              <w:t>Performs Well</w:t>
            </w:r>
          </w:p>
        </w:tc>
        <w:tc>
          <w:tcPr>
            <w:tcW w:w="1560" w:type="dxa"/>
            <w:shd w:val="clear" w:color="auto" w:fill="F2F4F7"/>
          </w:tcPr>
          <w:p w14:paraId="6AC852B7" w14:textId="77777777" w:rsidR="00CA4115" w:rsidRDefault="00000000">
            <w:pPr>
              <w:jc w:val="center"/>
            </w:pPr>
            <w:r>
              <w:rPr>
                <w:sz w:val="18"/>
              </w:rPr>
              <w:t>Moderate Return</w:t>
            </w:r>
          </w:p>
        </w:tc>
        <w:tc>
          <w:tcPr>
            <w:tcW w:w="1560" w:type="dxa"/>
            <w:shd w:val="clear" w:color="auto" w:fill="F2F4F7"/>
          </w:tcPr>
          <w:p w14:paraId="221A3749" w14:textId="77777777" w:rsidR="00CA4115" w:rsidRDefault="00000000">
            <w:pPr>
              <w:jc w:val="center"/>
            </w:pPr>
            <w:r>
              <w:rPr>
                <w:sz w:val="18"/>
              </w:rPr>
              <w:t>High Realization</w:t>
            </w:r>
          </w:p>
        </w:tc>
      </w:tr>
      <w:tr w:rsidR="00CA4115" w14:paraId="4078ABCA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208FDE46" w14:textId="77777777" w:rsidR="00CA4115" w:rsidRDefault="00000000">
            <w:r>
              <w:rPr>
                <w:b/>
                <w:sz w:val="18"/>
              </w:rPr>
              <w:t>Sector-Rotation Bull</w:t>
            </w:r>
          </w:p>
        </w:tc>
        <w:tc>
          <w:tcPr>
            <w:tcW w:w="1560" w:type="dxa"/>
            <w:shd w:val="clear" w:color="auto" w:fill="FFFFFF"/>
          </w:tcPr>
          <w:p w14:paraId="4A4EF088" w14:textId="77777777" w:rsidR="00CA4115" w:rsidRDefault="00000000">
            <w:pPr>
              <w:jc w:val="center"/>
            </w:pPr>
            <w:r>
              <w:rPr>
                <w:sz w:val="18"/>
              </w:rPr>
              <w:t>Performs Well</w:t>
            </w:r>
          </w:p>
        </w:tc>
        <w:tc>
          <w:tcPr>
            <w:tcW w:w="1560" w:type="dxa"/>
            <w:shd w:val="clear" w:color="auto" w:fill="FFFFFF"/>
          </w:tcPr>
          <w:p w14:paraId="516E67B9" w14:textId="77777777" w:rsidR="00CA4115" w:rsidRDefault="00000000">
            <w:pPr>
              <w:jc w:val="center"/>
            </w:pPr>
            <w:r>
              <w:rPr>
                <w:sz w:val="18"/>
              </w:rPr>
              <w:t>Outperforms</w:t>
            </w:r>
          </w:p>
        </w:tc>
        <w:tc>
          <w:tcPr>
            <w:tcW w:w="1560" w:type="dxa"/>
            <w:shd w:val="clear" w:color="auto" w:fill="FFFFFF"/>
          </w:tcPr>
          <w:p w14:paraId="138E07A4" w14:textId="77777777" w:rsidR="00CA4115" w:rsidRDefault="00000000">
            <w:pPr>
              <w:jc w:val="center"/>
            </w:pPr>
            <w:r>
              <w:rPr>
                <w:sz w:val="18"/>
              </w:rPr>
              <w:t>Performs Well</w:t>
            </w:r>
          </w:p>
        </w:tc>
        <w:tc>
          <w:tcPr>
            <w:tcW w:w="1560" w:type="dxa"/>
            <w:shd w:val="clear" w:color="auto" w:fill="FFFFFF"/>
          </w:tcPr>
          <w:p w14:paraId="4AC7D37A" w14:textId="77777777" w:rsidR="00CA4115" w:rsidRDefault="00000000">
            <w:pPr>
              <w:jc w:val="center"/>
            </w:pPr>
            <w:r>
              <w:rPr>
                <w:sz w:val="18"/>
              </w:rPr>
              <w:t>Moderate Return</w:t>
            </w:r>
          </w:p>
        </w:tc>
        <w:tc>
          <w:tcPr>
            <w:tcW w:w="1560" w:type="dxa"/>
            <w:shd w:val="clear" w:color="auto" w:fill="FFFFFF"/>
          </w:tcPr>
          <w:p w14:paraId="6F08D24C" w14:textId="77777777" w:rsidR="00CA4115" w:rsidRDefault="00000000">
            <w:pPr>
              <w:jc w:val="center"/>
            </w:pPr>
            <w:r>
              <w:rPr>
                <w:sz w:val="18"/>
              </w:rPr>
              <w:t>Steady Recycling</w:t>
            </w:r>
          </w:p>
        </w:tc>
      </w:tr>
      <w:tr w:rsidR="00CA4115" w14:paraId="3C141148" w14:textId="77777777">
        <w:trPr>
          <w:jc w:val="center"/>
        </w:trPr>
        <w:tc>
          <w:tcPr>
            <w:tcW w:w="1560" w:type="dxa"/>
            <w:shd w:val="clear" w:color="auto" w:fill="F2F4F7"/>
          </w:tcPr>
          <w:p w14:paraId="706339B9" w14:textId="77777777" w:rsidR="00CA4115" w:rsidRDefault="00000000">
            <w:r>
              <w:rPr>
                <w:b/>
                <w:sz w:val="18"/>
              </w:rPr>
              <w:t>Sideways / Ranging</w:t>
            </w:r>
          </w:p>
        </w:tc>
        <w:tc>
          <w:tcPr>
            <w:tcW w:w="1560" w:type="dxa"/>
            <w:shd w:val="clear" w:color="auto" w:fill="F2F4F7"/>
          </w:tcPr>
          <w:p w14:paraId="29AA6A24" w14:textId="77777777" w:rsidR="00CA4115" w:rsidRDefault="00000000">
            <w:pPr>
              <w:jc w:val="center"/>
            </w:pPr>
            <w:r>
              <w:rPr>
                <w:sz w:val="18"/>
              </w:rPr>
              <w:t>False Breakouts</w:t>
            </w:r>
          </w:p>
        </w:tc>
        <w:tc>
          <w:tcPr>
            <w:tcW w:w="1560" w:type="dxa"/>
            <w:shd w:val="clear" w:color="auto" w:fill="F2F4F7"/>
          </w:tcPr>
          <w:p w14:paraId="09B6AB57" w14:textId="77777777" w:rsidR="00CA4115" w:rsidRDefault="00000000">
            <w:pPr>
              <w:jc w:val="center"/>
            </w:pPr>
            <w:r>
              <w:rPr>
                <w:sz w:val="18"/>
              </w:rPr>
              <w:t>False Breakouts</w:t>
            </w:r>
          </w:p>
        </w:tc>
        <w:tc>
          <w:tcPr>
            <w:tcW w:w="1560" w:type="dxa"/>
            <w:shd w:val="clear" w:color="auto" w:fill="F2F4F7"/>
          </w:tcPr>
          <w:p w14:paraId="3FD7EE4A" w14:textId="77777777" w:rsidR="00CA4115" w:rsidRDefault="00000000">
            <w:pPr>
              <w:jc w:val="center"/>
            </w:pPr>
            <w:r>
              <w:rPr>
                <w:sz w:val="18"/>
              </w:rPr>
              <w:t>Outperforms</w:t>
            </w:r>
          </w:p>
        </w:tc>
        <w:tc>
          <w:tcPr>
            <w:tcW w:w="1560" w:type="dxa"/>
            <w:shd w:val="clear" w:color="auto" w:fill="F2F4F7"/>
          </w:tcPr>
          <w:p w14:paraId="59DD63E0" w14:textId="77777777" w:rsidR="00CA4115" w:rsidRDefault="00000000">
            <w:pPr>
              <w:jc w:val="center"/>
            </w:pPr>
            <w:r>
              <w:rPr>
                <w:sz w:val="18"/>
              </w:rPr>
              <w:t>Outperforms</w:t>
            </w:r>
          </w:p>
        </w:tc>
        <w:tc>
          <w:tcPr>
            <w:tcW w:w="1560" w:type="dxa"/>
            <w:shd w:val="clear" w:color="auto" w:fill="F2F4F7"/>
          </w:tcPr>
          <w:p w14:paraId="1D4D5DCC" w14:textId="77777777" w:rsidR="00CA4115" w:rsidRDefault="00000000">
            <w:pPr>
              <w:jc w:val="center"/>
            </w:pPr>
            <w:r>
              <w:rPr>
                <w:sz w:val="18"/>
              </w:rPr>
              <w:t>Captures Swings</w:t>
            </w:r>
          </w:p>
        </w:tc>
      </w:tr>
      <w:tr w:rsidR="00CA4115" w14:paraId="5749FAF1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68E7DD82" w14:textId="77777777" w:rsidR="00CA4115" w:rsidRDefault="00000000">
            <w:r>
              <w:rPr>
                <w:b/>
                <w:sz w:val="18"/>
              </w:rPr>
              <w:t>Correction / Bear</w:t>
            </w:r>
          </w:p>
        </w:tc>
        <w:tc>
          <w:tcPr>
            <w:tcW w:w="1560" w:type="dxa"/>
            <w:shd w:val="clear" w:color="auto" w:fill="FFFFFF"/>
          </w:tcPr>
          <w:p w14:paraId="2229A2B7" w14:textId="77777777" w:rsidR="00CA4115" w:rsidRDefault="00000000">
            <w:pPr>
              <w:jc w:val="center"/>
            </w:pPr>
            <w:r>
              <w:rPr>
                <w:sz w:val="18"/>
              </w:rPr>
              <w:t>Cash Buffer Active</w:t>
            </w:r>
          </w:p>
        </w:tc>
        <w:tc>
          <w:tcPr>
            <w:tcW w:w="1560" w:type="dxa"/>
            <w:shd w:val="clear" w:color="auto" w:fill="FFFFFF"/>
          </w:tcPr>
          <w:p w14:paraId="3253FBD5" w14:textId="77777777" w:rsidR="00CA4115" w:rsidRDefault="00000000">
            <w:pPr>
              <w:jc w:val="center"/>
            </w:pPr>
            <w:r>
              <w:rPr>
                <w:sz w:val="18"/>
              </w:rPr>
              <w:t>Cash Buffer Active</w:t>
            </w:r>
          </w:p>
        </w:tc>
        <w:tc>
          <w:tcPr>
            <w:tcW w:w="1560" w:type="dxa"/>
            <w:shd w:val="clear" w:color="auto" w:fill="FFFFFF"/>
          </w:tcPr>
          <w:p w14:paraId="5AF0DA71" w14:textId="77777777" w:rsidR="00CA4115" w:rsidRDefault="00000000">
            <w:pPr>
              <w:jc w:val="center"/>
            </w:pPr>
            <w:r>
              <w:rPr>
                <w:sz w:val="18"/>
              </w:rPr>
              <w:t>Selective Entries</w:t>
            </w:r>
          </w:p>
        </w:tc>
        <w:tc>
          <w:tcPr>
            <w:tcW w:w="1560" w:type="dxa"/>
            <w:shd w:val="clear" w:color="auto" w:fill="FFFFFF"/>
          </w:tcPr>
          <w:p w14:paraId="64F90680" w14:textId="77777777" w:rsidR="00CA4115" w:rsidRDefault="00000000">
            <w:pPr>
              <w:jc w:val="center"/>
            </w:pPr>
            <w:r>
              <w:rPr>
                <w:sz w:val="18"/>
              </w:rPr>
              <w:t>Outperforms (Defensive)</w:t>
            </w:r>
          </w:p>
        </w:tc>
        <w:tc>
          <w:tcPr>
            <w:tcW w:w="1560" w:type="dxa"/>
            <w:shd w:val="clear" w:color="auto" w:fill="FFFFFF"/>
          </w:tcPr>
          <w:p w14:paraId="407B5A74" w14:textId="77777777" w:rsidR="00CA4115" w:rsidRDefault="00000000">
            <w:pPr>
              <w:jc w:val="center"/>
            </w:pPr>
            <w:r>
              <w:rPr>
                <w:sz w:val="18"/>
              </w:rPr>
              <w:t>Cuts Loss Early</w:t>
            </w:r>
          </w:p>
        </w:tc>
      </w:tr>
    </w:tbl>
    <w:p w14:paraId="4C2CD17B" w14:textId="77777777" w:rsidR="00CA4115" w:rsidRDefault="00000000">
      <w:pPr>
        <w:keepNext/>
        <w:spacing w:before="360" w:after="160"/>
      </w:pPr>
      <w:r>
        <w:rPr>
          <w:b/>
          <w:color w:val="1F4E78"/>
          <w:sz w:val="36"/>
        </w:rPr>
        <w:t>5. Optimal Portfolio Allocation Model</w:t>
      </w:r>
    </w:p>
    <w:p w14:paraId="6E6D4508" w14:textId="77777777" w:rsidR="00CA4115" w:rsidRDefault="00000000">
      <w:pPr>
        <w:spacing w:after="120"/>
      </w:pPr>
      <w:r>
        <w:t>To achieve a target Sharpe Ratio &gt; 2.2 while minimizing maximum drawdown, portfolio capital should be allocated as follows:</w:t>
      </w:r>
    </w:p>
    <w:p w14:paraId="70FE2C94" w14:textId="77777777" w:rsidR="00CA4115" w:rsidRDefault="00000000">
      <w:pPr>
        <w:pStyle w:val="ListBullet"/>
        <w:spacing w:after="80"/>
      </w:pPr>
      <w:r>
        <w:rPr>
          <w:b/>
        </w:rPr>
        <w:t>Strategy #1 (Nifty 50 Breakout): Captures mega-cap bull trend momentum.</w:t>
      </w:r>
    </w:p>
    <w:p w14:paraId="62012086" w14:textId="77777777" w:rsidR="00CA4115" w:rsidRDefault="00000000">
      <w:pPr>
        <w:pStyle w:val="ListBullet"/>
        <w:spacing w:after="80"/>
      </w:pPr>
      <w:r>
        <w:rPr>
          <w:b/>
        </w:rPr>
        <w:t>Strategy #2 (Dynamic ATR Sector): Captures mid-cap sector momentum while capping cluster risk.</w:t>
      </w:r>
    </w:p>
    <w:p w14:paraId="6049B122" w14:textId="77777777" w:rsidR="00CA4115" w:rsidRDefault="00000000">
      <w:pPr>
        <w:pStyle w:val="ListBullet"/>
        <w:spacing w:after="80"/>
      </w:pPr>
      <w:r>
        <w:rPr>
          <w:b/>
        </w:rPr>
        <w:lastRenderedPageBreak/>
        <w:t>Strategy #3 (Hybrid Optimal Swing): Provides steady high-win-rate income on pullback dips.</w:t>
      </w:r>
    </w:p>
    <w:p w14:paraId="061D5A3E" w14:textId="77777777" w:rsidR="00CA4115" w:rsidRDefault="00000000">
      <w:pPr>
        <w:pStyle w:val="ListBullet"/>
        <w:spacing w:after="80"/>
      </w:pPr>
      <w:r>
        <w:rPr>
          <w:b/>
        </w:rPr>
        <w:t>Strategy #4 (Systematic Liquid ETF): Provides low-beta downside protection and tax efficiency.</w:t>
      </w:r>
    </w:p>
    <w:p w14:paraId="2F1BBDCA" w14:textId="77777777" w:rsidR="00CA4115" w:rsidRDefault="00000000">
      <w:pPr>
        <w:pStyle w:val="ListBullet"/>
        <w:spacing w:after="80"/>
      </w:pPr>
      <w:r>
        <w:rPr>
          <w:b/>
        </w:rPr>
        <w:t>Strategy #5 (MDP): Continuously audits live Dhan holdings and recycles capital into Strategies 1-4.</w:t>
      </w:r>
    </w:p>
    <w:sectPr w:rsidR="00CA41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890814">
    <w:abstractNumId w:val="8"/>
  </w:num>
  <w:num w:numId="2" w16cid:durableId="394400074">
    <w:abstractNumId w:val="6"/>
  </w:num>
  <w:num w:numId="3" w16cid:durableId="422192694">
    <w:abstractNumId w:val="5"/>
  </w:num>
  <w:num w:numId="4" w16cid:durableId="1516337018">
    <w:abstractNumId w:val="4"/>
  </w:num>
  <w:num w:numId="5" w16cid:durableId="1983652746">
    <w:abstractNumId w:val="7"/>
  </w:num>
  <w:num w:numId="6" w16cid:durableId="1821187941">
    <w:abstractNumId w:val="3"/>
  </w:num>
  <w:num w:numId="7" w16cid:durableId="874658519">
    <w:abstractNumId w:val="2"/>
  </w:num>
  <w:num w:numId="8" w16cid:durableId="567958619">
    <w:abstractNumId w:val="1"/>
  </w:num>
  <w:num w:numId="9" w16cid:durableId="91181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B8D"/>
    <w:rsid w:val="009C1861"/>
    <w:rsid w:val="00AA1D8D"/>
    <w:rsid w:val="00B47730"/>
    <w:rsid w:val="00CA41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9CA97"/>
  <w14:defaultImageDpi w14:val="300"/>
  <w15:docId w15:val="{4098599C-7ABA-4048-9EC6-88E4EC78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Basak</cp:lastModifiedBy>
  <cp:revision>2</cp:revision>
  <dcterms:created xsi:type="dcterms:W3CDTF">2013-12-23T23:15:00Z</dcterms:created>
  <dcterms:modified xsi:type="dcterms:W3CDTF">2026-09-30T16:38:00Z</dcterms:modified>
  <cp:category/>
</cp:coreProperties>
</file>