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F4E78"/>
          <w:sz w:val="52"/>
        </w:rPr>
        <w:t>AI-Swing-Trade Platform</w:t>
      </w:r>
    </w:p>
    <w:p>
      <w:pPr>
        <w:spacing w:after="480"/>
        <w:jc w:val="center"/>
      </w:pPr>
      <w:r>
        <w:rPr>
          <w:i/>
          <w:color w:val="595959"/>
          <w:sz w:val="28"/>
        </w:rPr>
        <w:t>System Architecture Specification &amp; Technical Blueprint</w:t>
      </w:r>
    </w:p>
    <w:p>
      <w:pPr>
        <w:spacing w:after="120"/>
      </w:pPr>
    </w:p>
    <w:p>
      <w:pPr>
        <w:keepNext/>
        <w:spacing w:before="360" w:after="160"/>
      </w:pPr>
      <w:r>
        <w:rPr>
          <w:b/>
          <w:color w:val="1F4E78"/>
          <w:sz w:val="36"/>
        </w:rPr>
        <w:t>1. Executive System Overview</w:t>
      </w:r>
    </w:p>
    <w:p>
      <w:r>
        <w:t>The AI-Swing-Trade platform is an autonomous, cloud-native quantitative trading ecosystem built specifically for the Indian Equity market (NSE). The system integrates market screening, state-graph workflow orchestration, institutional risk budgeting, regulatory tax sentinel checks, Google Sheets persistence, Telegram bot supervision, and live broker API execution via Dhan HQ.</w:t>
      </w:r>
    </w:p>
    <w:p>
      <w:pPr>
        <w:keepNext/>
        <w:spacing w:before="280" w:after="120"/>
      </w:pPr>
      <w:r>
        <w:rPr>
          <w:b/>
          <w:color w:val="2E75B6"/>
          <w:sz w:val="28"/>
        </w:rPr>
        <w:t>Technology Stack &amp; Subsystems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Layer / Subsystem</w:t>
            </w:r>
          </w:p>
        </w:tc>
        <w:tc>
          <w:tcPr>
            <w:tcW w:type="dxa" w:w="312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Technology / Framework</w:t>
            </w:r>
          </w:p>
        </w:tc>
        <w:tc>
          <w:tcPr>
            <w:tcW w:type="dxa" w:w="312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Core Responsibility</w:t>
            </w:r>
          </w:p>
        </w:tc>
      </w:tr>
      <w:tr>
        <w:tc>
          <w:tcPr>
            <w:tcW w:type="dxa" w:w="3120"/>
            <w:shd w:fill="F2F4F7"/>
          </w:tcPr>
          <w:p>
            <w:pPr>
              <w:jc w:val="left"/>
            </w:pPr>
            <w:r>
              <w:rPr>
                <w:b/>
                <w:sz w:val="18"/>
              </w:rPr>
              <w:t>User Interface &amp; Master Dashboard</w:t>
            </w:r>
          </w:p>
        </w:tc>
        <w:tc>
          <w:tcPr>
            <w:tcW w:type="dxa" w:w="3120"/>
            <w:shd w:fill="F2F4F7"/>
          </w:tcPr>
          <w:p>
            <w:pPr>
              <w:jc w:val="left"/>
            </w:pPr>
            <w:r>
              <w:rPr>
                <w:sz w:val="18"/>
              </w:rPr>
              <w:t>Streamlit 1.30+ &amp; Plotly</w:t>
            </w:r>
          </w:p>
        </w:tc>
        <w:tc>
          <w:tcPr>
            <w:tcW w:type="dxa" w:w="3120"/>
            <w:shd w:fill="F2F4F7"/>
          </w:tcPr>
          <w:p>
            <w:pPr>
              <w:jc w:val="left"/>
            </w:pPr>
            <w:r>
              <w:rPr>
                <w:sz w:val="18"/>
              </w:rPr>
              <w:t>Interactive strategy control, charts, telemetry, and manual trade triggers.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b/>
                <w:sz w:val="18"/>
              </w:rPr>
              <w:t>Workflow Orchestration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sz w:val="18"/>
              </w:rPr>
              <w:t>LangGraph &amp; Python 3.10+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sz w:val="18"/>
              </w:rPr>
              <w:t>State-graph execution pipeline (Sync -&gt; Screen -&gt; Risk -&gt; Execute -&gt; Format).</w:t>
            </w:r>
          </w:p>
        </w:tc>
      </w:tr>
      <w:tr>
        <w:tc>
          <w:tcPr>
            <w:tcW w:type="dxa" w:w="3120"/>
            <w:shd w:fill="F2F4F7"/>
          </w:tcPr>
          <w:p>
            <w:pPr>
              <w:jc w:val="left"/>
            </w:pPr>
            <w:r>
              <w:rPr>
                <w:b/>
                <w:sz w:val="18"/>
              </w:rPr>
              <w:t>Market Data &amp; Technical Analysis</w:t>
            </w:r>
          </w:p>
        </w:tc>
        <w:tc>
          <w:tcPr>
            <w:tcW w:type="dxa" w:w="3120"/>
            <w:shd w:fill="F2F4F7"/>
          </w:tcPr>
          <w:p>
            <w:pPr>
              <w:jc w:val="left"/>
            </w:pPr>
            <w:r>
              <w:rPr>
                <w:sz w:val="18"/>
              </w:rPr>
              <w:t>yFinance &amp; pandas / numpy</w:t>
            </w:r>
          </w:p>
        </w:tc>
        <w:tc>
          <w:tcPr>
            <w:tcW w:type="dxa" w:w="3120"/>
            <w:shd w:fill="F2F4F7"/>
          </w:tcPr>
          <w:p>
            <w:pPr>
              <w:jc w:val="left"/>
            </w:pPr>
            <w:r>
              <w:rPr>
                <w:sz w:val="18"/>
              </w:rPr>
              <w:t>Real-time &amp; historical OHLCV data, EMA, SMA, RSI, ATR calculations.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b/>
                <w:sz w:val="18"/>
              </w:rPr>
              <w:t>Broker Integration &amp; Gateway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sz w:val="18"/>
              </w:rPr>
              <w:t>Dhan HQ API v2 &amp; Requests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sz w:val="18"/>
              </w:rPr>
              <w:t>OAuth token validation, live holdings, funds limits, order routing.</w:t>
            </w:r>
          </w:p>
        </w:tc>
      </w:tr>
      <w:tr>
        <w:tc>
          <w:tcPr>
            <w:tcW w:type="dxa" w:w="3120"/>
            <w:shd w:fill="F2F4F7"/>
          </w:tcPr>
          <w:p>
            <w:pPr>
              <w:jc w:val="left"/>
            </w:pPr>
            <w:r>
              <w:rPr>
                <w:b/>
                <w:sz w:val="18"/>
              </w:rPr>
              <w:t>Persistence Layer</w:t>
            </w:r>
          </w:p>
        </w:tc>
        <w:tc>
          <w:tcPr>
            <w:tcW w:type="dxa" w:w="3120"/>
            <w:shd w:fill="F2F4F7"/>
          </w:tcPr>
          <w:p>
            <w:pPr>
              <w:jc w:val="left"/>
            </w:pPr>
            <w:r>
              <w:rPr>
                <w:sz w:val="18"/>
              </w:rPr>
              <w:t>Google Sheets API (gspread)</w:t>
            </w:r>
          </w:p>
        </w:tc>
        <w:tc>
          <w:tcPr>
            <w:tcW w:type="dxa" w:w="3120"/>
            <w:shd w:fill="F2F4F7"/>
          </w:tcPr>
          <w:p>
            <w:pPr>
              <w:jc w:val="left"/>
            </w:pPr>
            <w:r>
              <w:rPr>
                <w:sz w:val="18"/>
              </w:rPr>
              <w:t>Cloud storage for Account metrics, OpenPositions, TradeHistory, and PaperTrades.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b/>
                <w:sz w:val="18"/>
              </w:rPr>
              <w:t>Automated Bot Supervisor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sz w:val="18"/>
              </w:rPr>
              <w:t>python-telegram-bot &amp; AsyncIO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sz w:val="18"/>
              </w:rPr>
              <w:t>Background daemons for schedule alerts, scans, and Telegram bot commands.</w:t>
            </w:r>
          </w:p>
        </w:tc>
      </w:tr>
    </w:tbl>
    <w:p>
      <w:pPr>
        <w:keepNext/>
        <w:spacing w:before="360" w:after="160"/>
      </w:pPr>
      <w:r>
        <w:rPr>
          <w:b/>
          <w:color w:val="1F4E78"/>
          <w:sz w:val="36"/>
        </w:rPr>
        <w:t>2. System Microservice Architecture</w:t>
      </w:r>
    </w:p>
    <w:p>
      <w:r>
        <w:t>The system employs a Consolidated 3-Tier Microservices Model designed to operate within cloud resource limits while providing 0ms cold-start trade execution and zero single-point-of-failure isolation.</w:t>
      </w:r>
    </w:p>
    <w:p>
      <w:pPr>
        <w:keepNext/>
        <w:spacing w:before="280" w:after="120"/>
      </w:pPr>
      <w:r>
        <w:rPr>
          <w:b/>
          <w:color w:val="2E75B6"/>
          <w:sz w:val="28"/>
        </w:rPr>
        <w:t>Consolidated Microservice Tier Breakdown</w:t>
      </w:r>
    </w:p>
    <w:p>
      <w:pPr>
        <w:pStyle w:val="ListBullet"/>
        <w:spacing w:after="80"/>
      </w:pPr>
      <w:r>
        <w:rPr>
          <w:b/>
        </w:rPr>
        <w:t xml:space="preserve">1. Service Alpha (swing-trading-master): </w:t>
      </w:r>
      <w:r>
        <w:t>Houses Streamlit UI, 4 Quantitative Strategy Engines, Backtesting Sandbox, and Master Telegram Supervisor Daemon.</w:t>
      </w:r>
    </w:p>
    <w:p>
      <w:pPr>
        <w:pStyle w:val="ListBullet"/>
        <w:spacing w:after="80"/>
      </w:pPr>
      <w:r>
        <w:rPr>
          <w:b/>
        </w:rPr>
        <w:t xml:space="preserve">2. Service Beta (nexus-dhan-gateway): </w:t>
      </w:r>
      <w:r>
        <w:t>Dedicated Dhan HQ Broker REST Proxy (Port 8085). Caches holdings, cash margin limits, and order placement with a 30s RAM TTL to eliminate Dhan 429 rate limit issues.</w:t>
      </w:r>
    </w:p>
    <w:p>
      <w:pPr>
        <w:pStyle w:val="ListBullet"/>
        <w:spacing w:after="80"/>
      </w:pPr>
      <w:r>
        <w:rPr>
          <w:b/>
        </w:rPr>
        <w:t xml:space="preserve">3. Service Gamma (nexus-intelligence-api): </w:t>
      </w:r>
      <w:r>
        <w:t>Market Intelligence REST Proxy (Port 8086). Serves News RSS Sentiment scores, FII/DII net flows, and stock fundamental ratios with a 5-minute RAM TTL.</w:t>
      </w:r>
    </w:p>
    <w:p>
      <w:pPr>
        <w:keepNext/>
        <w:spacing w:before="280" w:after="120"/>
      </w:pPr>
      <w:r>
        <w:rPr>
          <w:b/>
          <w:color w:val="2E75B6"/>
          <w:sz w:val="28"/>
        </w:rPr>
        <w:t>Microservices API Endpoint Registry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Microservice</w:t>
            </w:r>
          </w:p>
        </w:tc>
        <w:tc>
          <w:tcPr>
            <w:tcW w:type="dxa" w:w="23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4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Primary Responsibility</w:t>
            </w:r>
          </w:p>
        </w:tc>
      </w:tr>
      <w:tr>
        <w:tc>
          <w:tcPr>
            <w:tcW w:type="dxa" w:w="2340"/>
            <w:shd w:fill="F2F4F7"/>
          </w:tcPr>
          <w:p>
            <w:pPr>
              <w:jc w:val="left"/>
            </w:pPr>
            <w:r>
              <w:rPr>
                <w:b/>
                <w:sz w:val="18"/>
              </w:rPr>
              <w:t>Service Beta (Broker)</w:t>
            </w:r>
          </w:p>
        </w:tc>
        <w:tc>
          <w:tcPr>
            <w:tcW w:type="dxa" w:w="2340"/>
            <w:shd w:fill="F2F4F7"/>
          </w:tcPr>
          <w:p>
            <w:pPr>
              <w:jc w:val="center"/>
            </w:pPr>
            <w:r>
              <w:rPr>
                <w:sz w:val="18"/>
              </w:rPr>
              <w:t>/api/v1/health</w:t>
            </w:r>
          </w:p>
        </w:tc>
        <w:tc>
          <w:tcPr>
            <w:tcW w:type="dxa" w:w="2340"/>
            <w:shd w:fill="F2F4F7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340"/>
            <w:shd w:fill="F2F4F7"/>
          </w:tcPr>
          <w:p>
            <w:pPr>
              <w:jc w:val="left"/>
            </w:pPr>
            <w:r>
              <w:rPr>
                <w:sz w:val="18"/>
              </w:rPr>
              <w:t>Health check, Dhan connection state, and Google Sheets status.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b/>
                <w:sz w:val="18"/>
              </w:rPr>
              <w:t>Service Beta (Broker)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>
              <w:rPr>
                <w:sz w:val="18"/>
              </w:rPr>
              <w:t>/api/v1/funds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sz w:val="18"/>
              </w:rPr>
              <w:t>Returns live cash balance, portfolio value, and execution mode.</w:t>
            </w:r>
          </w:p>
        </w:tc>
      </w:tr>
      <w:tr>
        <w:tc>
          <w:tcPr>
            <w:tcW w:type="dxa" w:w="2340"/>
            <w:shd w:fill="F2F4F7"/>
          </w:tcPr>
          <w:p>
            <w:pPr>
              <w:jc w:val="left"/>
            </w:pPr>
            <w:r>
              <w:rPr>
                <w:b/>
                <w:sz w:val="18"/>
              </w:rPr>
              <w:t>Service Beta (Broker)</w:t>
            </w:r>
          </w:p>
        </w:tc>
        <w:tc>
          <w:tcPr>
            <w:tcW w:type="dxa" w:w="2340"/>
            <w:shd w:fill="F2F4F7"/>
          </w:tcPr>
          <w:p>
            <w:pPr>
              <w:jc w:val="center"/>
            </w:pPr>
            <w:r>
              <w:rPr>
                <w:sz w:val="18"/>
              </w:rPr>
              <w:t>/api/v1/portfolio</w:t>
            </w:r>
          </w:p>
        </w:tc>
        <w:tc>
          <w:tcPr>
            <w:tcW w:type="dxa" w:w="2340"/>
            <w:shd w:fill="F2F4F7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340"/>
            <w:shd w:fill="F2F4F7"/>
          </w:tcPr>
          <w:p>
            <w:pPr>
              <w:jc w:val="left"/>
            </w:pPr>
            <w:r>
              <w:rPr>
                <w:sz w:val="18"/>
              </w:rPr>
              <w:t>Analyzed holdings matrix, current market value, PnL, and recommendations.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b/>
                <w:sz w:val="18"/>
              </w:rPr>
              <w:t>Service Beta (Broker)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>
              <w:rPr>
                <w:sz w:val="18"/>
              </w:rPr>
              <w:t>/api/v1/place_order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sz w:val="18"/>
              </w:rPr>
              <w:t>Pre-flight validation and order dispatch (Live Dhan API vs Paper log).</w:t>
            </w:r>
          </w:p>
        </w:tc>
      </w:tr>
      <w:tr>
        <w:tc>
          <w:tcPr>
            <w:tcW w:type="dxa" w:w="2340"/>
            <w:shd w:fill="F2F4F7"/>
          </w:tcPr>
          <w:p>
            <w:pPr>
              <w:jc w:val="left"/>
            </w:pPr>
            <w:r>
              <w:rPr>
                <w:b/>
                <w:sz w:val="18"/>
              </w:rPr>
              <w:t>Service Gamma (Intel)</w:t>
            </w:r>
          </w:p>
        </w:tc>
        <w:tc>
          <w:tcPr>
            <w:tcW w:type="dxa" w:w="2340"/>
            <w:shd w:fill="F2F4F7"/>
          </w:tcPr>
          <w:p>
            <w:pPr>
              <w:jc w:val="center"/>
            </w:pPr>
            <w:r>
              <w:rPr>
                <w:sz w:val="18"/>
              </w:rPr>
              <w:t>/api/v1/sentiment</w:t>
            </w:r>
          </w:p>
        </w:tc>
        <w:tc>
          <w:tcPr>
            <w:tcW w:type="dxa" w:w="2340"/>
            <w:shd w:fill="F2F4F7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340"/>
            <w:shd w:fill="F2F4F7"/>
          </w:tcPr>
          <w:p>
            <w:pPr>
              <w:jc w:val="left"/>
            </w:pPr>
            <w:r>
              <w:rPr>
                <w:sz w:val="18"/>
              </w:rPr>
              <w:t>Overall market sentiment score, India VIX level, geopolitical risk.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b/>
                <w:sz w:val="18"/>
              </w:rPr>
              <w:t>Service Gamma (Intel)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>
              <w:rPr>
                <w:sz w:val="18"/>
              </w:rPr>
              <w:t>/api/v1/fii_dii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sz w:val="18"/>
              </w:rPr>
              <w:t>FII and DII daily net equity buy/sell cash flow totals.</w:t>
            </w:r>
          </w:p>
        </w:tc>
      </w:tr>
      <w:tr>
        <w:tc>
          <w:tcPr>
            <w:tcW w:type="dxa" w:w="2340"/>
            <w:shd w:fill="F2F4F7"/>
          </w:tcPr>
          <w:p>
            <w:pPr>
              <w:jc w:val="left"/>
            </w:pPr>
            <w:r>
              <w:rPr>
                <w:b/>
                <w:sz w:val="18"/>
              </w:rPr>
              <w:t>Service Gamma (Intel)</w:t>
            </w:r>
          </w:p>
        </w:tc>
        <w:tc>
          <w:tcPr>
            <w:tcW w:type="dxa" w:w="2340"/>
            <w:shd w:fill="F2F4F7"/>
          </w:tcPr>
          <w:p>
            <w:pPr>
              <w:jc w:val="center"/>
            </w:pPr>
            <w:r>
              <w:rPr>
                <w:sz w:val="18"/>
              </w:rPr>
              <w:t>/api/v1/fundamentals</w:t>
            </w:r>
          </w:p>
        </w:tc>
        <w:tc>
          <w:tcPr>
            <w:tcW w:type="dxa" w:w="2340"/>
            <w:shd w:fill="F2F4F7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340"/>
            <w:shd w:fill="F2F4F7"/>
          </w:tcPr>
          <w:p>
            <w:pPr>
              <w:jc w:val="left"/>
            </w:pPr>
            <w:r>
              <w:rPr>
                <w:sz w:val="18"/>
              </w:rPr>
              <w:t>Stock fundamental financial metrics (P/E, P/B, Debt/Equity, ROE).</w:t>
            </w:r>
          </w:p>
        </w:tc>
      </w:tr>
    </w:tbl>
    <w:p>
      <w:pPr>
        <w:keepNext/>
        <w:spacing w:before="360" w:after="160"/>
      </w:pPr>
      <w:r>
        <w:rPr>
          <w:b/>
          <w:color w:val="1F4E78"/>
          <w:sz w:val="36"/>
        </w:rPr>
        <w:t>3. LangGraph Workflow Execution Pipeline</w:t>
      </w:r>
    </w:p>
    <w:p>
      <w:r>
        <w:t>Trade execution is managed as a deterministic state graph powered by LangGraph. The workflow enforces strict sequential processing nodes to guarantee risk budgeting and regulatory compliance.</w:t>
      </w:r>
    </w:p>
    <w:p>
      <w:pPr>
        <w:pStyle w:val="ListBullet"/>
        <w:spacing w:after="80"/>
      </w:pPr>
      <w:r>
        <w:rPr>
          <w:b/>
        </w:rPr>
        <w:t xml:space="preserve">Node 1: Sync Portfolio Node -&gt; </w:t>
      </w:r>
      <w:r>
        <w:t>Connects to Google Sheets, syncs active positions, processes exits, and loads updated account funds.</w:t>
      </w:r>
    </w:p>
    <w:p>
      <w:pPr>
        <w:pStyle w:val="ListBullet"/>
        <w:spacing w:after="80"/>
      </w:pPr>
      <w:r>
        <w:rPr>
          <w:b/>
        </w:rPr>
        <w:t xml:space="preserve">Node 2: Screen Candidates Node -&gt; </w:t>
      </w:r>
      <w:r>
        <w:t>Executes strategy screener algorithms across target universes (Nifty 50, LargeMidcap 250, Champions Pool, ETFs).</w:t>
      </w:r>
    </w:p>
    <w:p>
      <w:pPr>
        <w:pStyle w:val="ListBullet"/>
        <w:spacing w:after="80"/>
      </w:pPr>
      <w:r>
        <w:rPr>
          <w:b/>
        </w:rPr>
        <w:t xml:space="preserve">Node 3: Risk Budgeting Node -&gt; </w:t>
      </w:r>
      <w:r>
        <w:t>Sizes positions using 1.5% portfolio risk and 2x ATR(14) stop loss. Enforces max 3 open positions per sector cap.</w:t>
      </w:r>
    </w:p>
    <w:p>
      <w:pPr>
        <w:pStyle w:val="ListBullet"/>
        <w:spacing w:after="80"/>
      </w:pPr>
      <w:r>
        <w:rPr>
          <w:b/>
        </w:rPr>
        <w:t xml:space="preserve">Node 4: Execute Orders Node -&gt; </w:t>
      </w:r>
      <w:r>
        <w:t>Dispatches validated orders to Service Beta Gateway for Dhan live API execution or Google Sheets paper logging.</w:t>
      </w:r>
    </w:p>
    <w:p>
      <w:pPr>
        <w:pStyle w:val="ListBullet"/>
        <w:spacing w:after="80"/>
      </w:pPr>
      <w:r>
        <w:rPr>
          <w:b/>
        </w:rPr>
        <w:t xml:space="preserve">Node 5: Format Scan Report Node -&gt; </w:t>
      </w:r>
      <w:r>
        <w:t>Formats trade execution report for Streamlit UI rendering and Telegram broadcast.</w:t>
      </w:r>
    </w:p>
    <w:p>
      <w:pPr>
        <w:keepNext/>
        <w:spacing w:before="360" w:after="160"/>
      </w:pPr>
      <w:r>
        <w:rPr>
          <w:b/>
          <w:color w:val="1F4E78"/>
          <w:sz w:val="36"/>
        </w:rPr>
        <w:t>4. Persistence Layer &amp; Google Sheets Architecture</w:t>
      </w:r>
    </w:p>
    <w:p>
      <w:r>
        <w:t>Persistent system state is saved in Google Sheets ('NSE_Dhan_Portfolio_Manager' / 'NSE_Nexus_Portfolio_Manager'). All gspread API operations utilize exponential backoff sleep retries to mitigate Google Sheets 429 rate limits.</w:t>
      </w:r>
    </w:p>
    <w:p>
      <w:pPr>
        <w:pStyle w:val="ListBullet"/>
        <w:spacing w:after="80"/>
      </w:pPr>
      <w:r>
        <w:rPr>
          <w:b/>
        </w:rPr>
        <w:t xml:space="preserve">1. Account Worksheet: </w:t>
      </w:r>
      <w:r>
        <w:t>Stores Key-Value parameter pairs (Cash Balance, Total Portfolio Value, Risk Percent, Execution Mode).</w:t>
      </w:r>
    </w:p>
    <w:p>
      <w:pPr>
        <w:pStyle w:val="ListBullet"/>
        <w:spacing w:after="80"/>
      </w:pPr>
      <w:r>
        <w:rPr>
          <w:b/>
        </w:rPr>
        <w:t xml:space="preserve">2. OpenPositions Worksheet: </w:t>
      </w:r>
      <w:r>
        <w:t>Tracks active holdings, entry date, quantity, entry price, initial SL, current SL, and target price.</w:t>
      </w:r>
    </w:p>
    <w:p>
      <w:pPr>
        <w:pStyle w:val="ListBullet"/>
        <w:spacing w:after="80"/>
      </w:pPr>
      <w:r>
        <w:rPr>
          <w:b/>
        </w:rPr>
        <w:t xml:space="preserve">3. TradeHistory Worksheet: </w:t>
      </w:r>
      <w:r>
        <w:t>Permanent log of executed trades, exit prices, realized PnL, holding days, and exit reasons.</w:t>
      </w:r>
    </w:p>
    <w:p>
      <w:pPr>
        <w:pStyle w:val="ListBullet"/>
        <w:spacing w:after="80"/>
      </w:pPr>
      <w:r>
        <w:rPr>
          <w:b/>
        </w:rPr>
        <w:t xml:space="preserve">4. Paper_Trades Worksheet: </w:t>
      </w:r>
      <w:r>
        <w:t>Simulated paper trade execution audit trail with timestamps and strategy rationales.</w:t>
      </w:r>
    </w:p>
    <w:p>
      <w:pPr>
        <w:keepNext/>
        <w:spacing w:before="360" w:after="160"/>
      </w:pPr>
      <w:r>
        <w:rPr>
          <w:b/>
          <w:color w:val="1F4E78"/>
          <w:sz w:val="36"/>
        </w:rPr>
        <w:t>5. Security, Tax Sentinel &amp; Regulatory Controls</w:t>
      </w:r>
    </w:p>
    <w:p>
      <w:r>
        <w:t>The system incorporates an autonomous Regulatory Sentinel module (tax_sentinel.py) and strict credential security controls:</w:t>
      </w:r>
    </w:p>
    <w:p>
      <w:pPr>
        <w:pStyle w:val="ListBullet"/>
        <w:spacing w:after="80"/>
      </w:pPr>
      <w:r>
        <w:rPr>
          <w:b/>
        </w:rPr>
        <w:t xml:space="preserve">Individual Execution Mode Toggles: </w:t>
      </w:r>
      <w:r>
        <w:t>Each strategy tab maintains an isolated Execution Mode radio control (PAPER_SIMULATED vs LIVE_DHAN) persisted in Google Sheets.</w:t>
      </w:r>
    </w:p>
    <w:p>
      <w:pPr>
        <w:pStyle w:val="ListBullet"/>
        <w:spacing w:after="80"/>
      </w:pPr>
      <w:r>
        <w:rPr>
          <w:b/>
        </w:rPr>
        <w:t xml:space="preserve">Pre-Flight Dhan OAuth Check: </w:t>
      </w:r>
      <w:r>
        <w:t>Live order placement performs a mandatory pre-flight token check before dispatching orders.</w:t>
      </w:r>
    </w:p>
    <w:p>
      <w:pPr>
        <w:pStyle w:val="ListBullet"/>
        <w:spacing w:after="80"/>
      </w:pPr>
      <w:r>
        <w:rPr>
          <w:b/>
        </w:rPr>
        <w:t xml:space="preserve">Tax Sentinel &amp; Transaction Fee Sizer: </w:t>
      </w:r>
      <w:r>
        <w:t>Calculates Securities Transaction Tax (STT), Exchange Turnover Charges, GST, Stamp Duty, and Short-Term Capital Gains (STCG @ 20%).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