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NSE Automated Swing Trading &amp; Portfolio Management System</w:t>
      </w:r>
    </w:p>
    <w:p>
      <w:pPr>
        <w:spacing w:before="0" w:after="160"/>
      </w:pPr>
      <w:r>
        <w:rPr>
          <w:rFonts w:ascii="Calibri" w:hAnsi="Calibri"/>
          <w:b/>
          <w:color w:val="2E5B88"/>
          <w:sz w:val="26"/>
        </w:rPr>
        <w:t>Master Technical Architecture &amp; Operations Manual — System #1: Classic Breakout (20 SMA &amp; 1.0% Risk)</w:t>
      </w:r>
    </w:p>
    <w:tbl>
      <w:tblPr>
        <w:tblW w:type="auto" w:w="0"/>
        <w:jc w:val="center"/>
        <w:tblLayout w:type="fixed"/>
        <w:tblLook w:firstColumn="1" w:firstRow="1" w:lastColumn="0" w:lastRow="0" w:noHBand="0" w:noVBand="1" w:val="04A0"/>
      </w:tblPr>
      <w:tblGrid>
        <w:gridCol w:w="9936"/>
      </w:tblGrid>
      <w:tr>
        <w:tc>
          <w:tcPr>
            <w:tcW w:type="dxa" w:w="9792"/>
            <w:shd w:fill="F4F7FA"/>
            <w:tcMar>
              <w:top w:w="140" w:type="dxa"/>
              <w:bottom w:w="140" w:type="dxa"/>
              <w:left w:w="200" w:type="dxa"/>
              <w:right w:w="200" w:type="dxa"/>
            </w:tcMar>
            <w:tcBorders>
              <w:left w:val="single" w:sz="24" w:space="0" w:color="2E5B88"/>
              <w:top w:val="none"/>
              <w:right w:val="none"/>
              <w:bottom w:val="none"/>
            </w:tcBorders>
          </w:tcPr>
          <w:p>
            <w:pPr>
              <w:spacing w:before="40" w:after="40" w:line="276" w:lineRule="auto"/>
            </w:pPr>
            <w:r>
              <w:rPr>
                <w:rFonts w:ascii="Calibri" w:hAnsi="Calibri"/>
                <w:b/>
                <w:i w:val="0"/>
                <w:color w:val="1B365D"/>
                <w:sz w:val="20"/>
              </w:rPr>
              <w:t xml:space="preserve">Production Version: </w:t>
            </w:r>
            <w:r>
              <w:rPr>
                <w:rFonts w:ascii="Calibri" w:hAnsi="Calibri"/>
                <w:b w:val="0"/>
                <w:i w:val="0"/>
                <w:color w:val="444444"/>
                <w:sz w:val="20"/>
              </w:rPr>
              <w:t xml:space="preserve">v2.0 Production Release   |   </w:t>
            </w:r>
            <w:r>
              <w:rPr>
                <w:rFonts w:ascii="Calibri" w:hAnsi="Calibri"/>
                <w:b/>
                <w:i w:val="0"/>
                <w:color w:val="1B365D"/>
                <w:sz w:val="20"/>
              </w:rPr>
              <w:t xml:space="preserve">Document ID: </w:t>
            </w:r>
            <w:r>
              <w:rPr>
                <w:rFonts w:ascii="Calibri" w:hAnsi="Calibri"/>
                <w:b w:val="0"/>
                <w:i w:val="0"/>
                <w:color w:val="444444"/>
                <w:sz w:val="20"/>
              </w:rPr>
              <w:t xml:space="preserve">DOC-NSE-SWING-P1-2026   |   </w:t>
            </w:r>
            <w:r>
              <w:rPr>
                <w:rFonts w:ascii="Calibri" w:hAnsi="Calibri"/>
                <w:b/>
                <w:i w:val="0"/>
                <w:color w:val="1B365D"/>
                <w:sz w:val="20"/>
              </w:rPr>
              <w:t xml:space="preserve">Branch: </w:t>
            </w:r>
            <w:r>
              <w:rPr>
                <w:rFonts w:ascii="Calibri" w:hAnsi="Calibri"/>
                <w:b w:val="0"/>
                <w:i w:val="0"/>
                <w:color w:val="444444"/>
                <w:sz w:val="20"/>
              </w:rPr>
              <w:t xml:space="preserve">main   |   </w:t>
            </w:r>
            <w:r>
              <w:rPr>
                <w:rFonts w:ascii="Calibri" w:hAnsi="Calibri"/>
                <w:b/>
                <w:i w:val="0"/>
                <w:color w:val="1B365D"/>
                <w:sz w:val="20"/>
              </w:rPr>
              <w:t xml:space="preserve">Target Platform: </w:t>
            </w:r>
            <w:r>
              <w:rPr>
                <w:rFonts w:ascii="Calibri" w:hAnsi="Calibri"/>
                <w:b w:val="0"/>
                <w:i w:val="0"/>
                <w:color w:val="444444"/>
                <w:sz w:val="20"/>
              </w:rPr>
              <w:t>Render Cloud + Google Sheets + DhanHQ + Telegram</w:t>
            </w:r>
          </w:p>
        </w:tc>
      </w:tr>
    </w:tbl>
    <w:p>
      <w:pPr>
        <w:spacing w:after="120"/>
      </w:pPr>
    </w:p>
    <w:p>
      <w:pPr>
        <w:keepNext/>
        <w:spacing w:before="320" w:after="120"/>
      </w:pPr>
      <w:r>
        <w:rPr>
          <w:rFonts w:ascii="Calibri" w:hAnsi="Calibri"/>
          <w:b/>
          <w:color w:val="1B365D"/>
          <w:sz w:val="30"/>
        </w:rPr>
        <w:t>1. Executive Summary &amp; System Architecture</w:t>
      </w:r>
    </w:p>
    <w:p>
      <w:pPr>
        <w:spacing w:before="20" w:after="80" w:line="276" w:lineRule="auto"/>
      </w:pPr>
      <w:r>
        <w:rPr>
          <w:rFonts w:ascii="Calibri" w:hAnsi="Calibri"/>
          <w:i w:val="0"/>
          <w:color w:val="222222"/>
          <w:sz w:val="20"/>
        </w:rPr>
        <w:t>The NSE Swing Trading &amp; Portfolio Management System is a stateful, event-driven quantitative trading engine engineered for high reliability, autonomous execution, and strict capital defense on the National Stock Exchange (NSE) of India. This document serves as the exhaustive technical specification and operational handbook for System #1: Classic Breakout (20 SMA &amp; 1.0% Risk).</w:t>
      </w:r>
    </w:p>
    <w:p>
      <w:pPr>
        <w:spacing w:before="20" w:after="80" w:line="276" w:lineRule="auto"/>
      </w:pPr>
      <w:r>
        <w:rPr>
          <w:rFonts w:ascii="Calibri" w:hAnsi="Calibri"/>
          <w:i w:val="0"/>
          <w:color w:val="222222"/>
          <w:sz w:val="20"/>
        </w:rPr>
        <w:t>The system operates an automated pipeline orchestrated via LangGraph, uniting four deterministic processing nodes within a single unified cycle: real-time portfolio synchronization, systematic breakout screening, quantitative position sizing, and multi-channel trade execution.</w:t>
      </w:r>
    </w:p>
    <w:p>
      <w:pPr>
        <w:keepNext/>
        <w:spacing w:before="240" w:after="80"/>
      </w:pPr>
      <w:r>
        <w:rPr>
          <w:rFonts w:ascii="Calibri" w:hAnsi="Calibri"/>
          <w:b/>
          <w:color w:val="2E5B88"/>
          <w:sz w:val="24"/>
        </w:rPr>
        <w:t>Core Architectural Characteristics</w:t>
      </w:r>
    </w:p>
    <w:p>
      <w:pPr>
        <w:pStyle w:val="ListBullet"/>
        <w:spacing w:before="20" w:after="60" w:line="276" w:lineRule="auto"/>
      </w:pPr>
      <w:r>
        <w:rPr>
          <w:rFonts w:ascii="Calibri" w:hAnsi="Calibri"/>
          <w:b/>
          <w:color w:val="1B365D"/>
          <w:sz w:val="19"/>
        </w:rPr>
        <w:t>LangGraph State Machine Engine:</w:t>
      </w:r>
      <w:r>
        <w:rPr>
          <w:rFonts w:ascii="Calibri" w:hAnsi="Calibri"/>
          <w:color w:val="222222"/>
          <w:sz w:val="19"/>
        </w:rPr>
        <w:t xml:space="preserve"> Coordinates state across Portfolio Sync, Market Screener, Position Sizer, and Trade Executor nodes.</w:t>
      </w:r>
    </w:p>
    <w:p>
      <w:pPr>
        <w:pStyle w:val="ListBullet"/>
        <w:spacing w:before="20" w:after="60" w:line="276" w:lineRule="auto"/>
      </w:pPr>
      <w:r>
        <w:rPr>
          <w:rFonts w:ascii="Calibri" w:hAnsi="Calibri"/>
          <w:b/>
          <w:color w:val="1B365D"/>
          <w:sz w:val="19"/>
        </w:rPr>
        <w:t>Dual Broker &amp; Data Feed Architecture:</w:t>
      </w:r>
      <w:r>
        <w:rPr>
          <w:rFonts w:ascii="Calibri" w:hAnsi="Calibri"/>
          <w:color w:val="222222"/>
          <w:sz w:val="19"/>
        </w:rPr>
        <w:t xml:space="preserve"> Connects directly to DhanHQ API ('dhanhq') with in-memory caching of Dhan NSE Scrip Master for low-latency tick data (LTP), automatically falling back to Yahoo Finance ('yfinance') if credentials or network are interrupted.</w:t>
      </w:r>
    </w:p>
    <w:p>
      <w:pPr>
        <w:pStyle w:val="ListBullet"/>
        <w:spacing w:before="20" w:after="60" w:line="276" w:lineRule="auto"/>
      </w:pPr>
      <w:r>
        <w:rPr>
          <w:rFonts w:ascii="Calibri" w:hAnsi="Calibri"/>
          <w:b/>
          <w:color w:val="1B365D"/>
          <w:sz w:val="19"/>
        </w:rPr>
        <w:t>Lightweight Single-Container Runtime:</w:t>
      </w:r>
      <w:r>
        <w:rPr>
          <w:rFonts w:ascii="Calibri" w:hAnsi="Calibri"/>
          <w:color w:val="222222"/>
          <w:sz w:val="19"/>
        </w:rPr>
        <w:t xml:space="preserve"> A Streamlit interactive analytics dashboard and an interactive Python-Telegram Bot run concurrently inside a single lightweight Render web container, protected by an automatic watchdog supervisor.</w:t>
      </w:r>
    </w:p>
    <w:p>
      <w:pPr>
        <w:pStyle w:val="ListBullet"/>
        <w:spacing w:before="20" w:after="60" w:line="276" w:lineRule="auto"/>
      </w:pPr>
      <w:r>
        <w:rPr>
          <w:rFonts w:ascii="Calibri" w:hAnsi="Calibri"/>
          <w:b/>
          <w:color w:val="1B365D"/>
          <w:sz w:val="19"/>
        </w:rPr>
        <w:t>Google Sheets Relational Cloud Database:</w:t>
      </w:r>
      <w:r>
        <w:rPr>
          <w:rFonts w:ascii="Calibri" w:hAnsi="Calibri"/>
          <w:color w:val="222222"/>
          <w:sz w:val="19"/>
        </w:rPr>
        <w:t xml:space="preserve"> Employs Google Sheets ('NSE_Swing_Trading_Portfolio_1') as a serverless relational database with exponential backoff retries handling Google API 429 quota rate limits.</w:t>
      </w:r>
    </w:p>
    <w:p>
      <w:pPr>
        <w:pStyle w:val="ListBullet"/>
        <w:spacing w:before="20" w:after="60" w:line="276" w:lineRule="auto"/>
      </w:pPr>
      <w:r>
        <w:rPr>
          <w:rFonts w:ascii="Calibri" w:hAnsi="Calibri"/>
          <w:b/>
          <w:color w:val="1B365D"/>
          <w:sz w:val="19"/>
        </w:rPr>
        <w:t>Gemini 3.6-Flash Market Sentiment Engine:</w:t>
      </w:r>
      <w:r>
        <w:rPr>
          <w:rFonts w:ascii="Calibri" w:hAnsi="Calibri"/>
          <w:color w:val="222222"/>
          <w:sz w:val="19"/>
        </w:rPr>
        <w:t xml:space="preserve"> Integrates dual-tier global macroeconomic synthesis (US Wall Street, Fed rate path, Crude Oil, DXY) and Indian domestic market analysis (Nifty 50, Bank Nifty, FII/DII liquidity) combined with Gemini 3.6-flash to deliver actionable color-coded trading guardrails.</w:t>
      </w:r>
    </w:p>
    <w:p>
      <w:pPr>
        <w:keepNext/>
        <w:spacing w:before="320" w:after="120"/>
      </w:pPr>
      <w:r>
        <w:rPr>
          <w:rFonts w:ascii="Calibri" w:hAnsi="Calibri"/>
          <w:b/>
          <w:color w:val="1B365D"/>
          <w:sz w:val="30"/>
        </w:rPr>
        <w:t>2. Quantitative Strategy &amp; Execution Rules</w:t>
      </w:r>
    </w:p>
    <w:p>
      <w:pPr>
        <w:spacing w:before="20" w:after="80" w:line="276" w:lineRule="auto"/>
      </w:pPr>
      <w:r>
        <w:rPr>
          <w:rFonts w:ascii="Calibri" w:hAnsi="Calibri"/>
          <w:i w:val="0"/>
          <w:color w:val="222222"/>
          <w:sz w:val="20"/>
        </w:rPr>
        <w:t>System #1 executes the Classic Breakout Strategy with 1.0% capital risk per trade, clamped 20 SMA stop-loss, and 1:2 Risk-to-Reward profit targets:</w:t>
      </w:r>
    </w:p>
    <w:p>
      <w:pPr>
        <w:pStyle w:val="ListBullet"/>
        <w:spacing w:before="20" w:after="60" w:line="276" w:lineRule="auto"/>
      </w:pPr>
      <w:r>
        <w:rPr>
          <w:rFonts w:ascii="Calibri" w:hAnsi="Calibri"/>
          <w:b/>
          <w:color w:val="1B365D"/>
          <w:sz w:val="19"/>
        </w:rPr>
        <w:t>Universe Definition:</w:t>
      </w:r>
      <w:r>
        <w:rPr>
          <w:rFonts w:ascii="Calibri" w:hAnsi="Calibri"/>
          <w:color w:val="222222"/>
          <w:sz w:val="19"/>
        </w:rPr>
        <w:t>Constituents of the Nifty 50 index, downloaded dynamically from the official NSE India Archives (ind_nifty50list.csv) with .NS symbol suffixes.</w:t>
      </w:r>
    </w:p>
    <w:p>
      <w:pPr>
        <w:pStyle w:val="ListBullet"/>
        <w:spacing w:before="20" w:after="60" w:line="276" w:lineRule="auto"/>
      </w:pPr>
      <w:r>
        <w:rPr>
          <w:rFonts w:ascii="Calibri" w:hAnsi="Calibri"/>
          <w:b/>
          <w:color w:val="1B365D"/>
          <w:sz w:val="19"/>
        </w:rPr>
        <w:t>Price Breakout Rule:</w:t>
      </w:r>
      <w:r>
        <w:rPr>
          <w:rFonts w:ascii="Calibri" w:hAnsi="Calibri"/>
          <w:color w:val="222222"/>
          <w:sz w:val="19"/>
        </w:rPr>
        <w:t>Today's Close &gt; Today's 20-day Simple Moving Average (20 SMA) AND Yesterday's Close &lt;= Yesterday's 20-day SMA.</w:t>
      </w:r>
    </w:p>
    <w:p>
      <w:pPr>
        <w:pStyle w:val="ListBullet"/>
        <w:spacing w:before="20" w:after="60" w:line="276" w:lineRule="auto"/>
      </w:pPr>
      <w:r>
        <w:rPr>
          <w:rFonts w:ascii="Calibri" w:hAnsi="Calibri"/>
          <w:b/>
          <w:color w:val="1B365D"/>
          <w:sz w:val="19"/>
        </w:rPr>
        <w:t>Volume Expansion Rule:</w:t>
      </w:r>
      <w:r>
        <w:rPr>
          <w:rFonts w:ascii="Calibri" w:hAnsi="Calibri"/>
          <w:color w:val="222222"/>
          <w:sz w:val="19"/>
        </w:rPr>
        <w:t>Today's Volume &gt; 2.0 * 20-day Volume SMA (minimum 200% surge confirming institutional buying interest).</w:t>
      </w:r>
    </w:p>
    <w:p>
      <w:pPr>
        <w:pStyle w:val="ListBullet"/>
        <w:spacing w:before="20" w:after="60" w:line="276" w:lineRule="auto"/>
      </w:pPr>
      <w:r>
        <w:rPr>
          <w:rFonts w:ascii="Calibri" w:hAnsi="Calibri"/>
          <w:b/>
          <w:color w:val="1B365D"/>
          <w:sz w:val="19"/>
        </w:rPr>
        <w:t>Momentum RSI Filter:</w:t>
      </w:r>
      <w:r>
        <w:rPr>
          <w:rFonts w:ascii="Calibri" w:hAnsi="Calibri"/>
          <w:color w:val="222222"/>
          <w:sz w:val="19"/>
        </w:rPr>
        <w:t>14-period Wilder's Smoothed Relative Strength Index (RSI) between 50 and 70 (ensures upward momentum while rejecting overbought conditions).</w:t>
      </w:r>
    </w:p>
    <w:p>
      <w:pPr>
        <w:pStyle w:val="ListBullet"/>
        <w:spacing w:before="20" w:after="60" w:line="276" w:lineRule="auto"/>
      </w:pPr>
      <w:r>
        <w:rPr>
          <w:rFonts w:ascii="Calibri" w:hAnsi="Calibri"/>
          <w:b/>
          <w:color w:val="1B365D"/>
          <w:sz w:val="19"/>
        </w:rPr>
        <w:t>Initial Stop Loss:</w:t>
      </w:r>
      <w:r>
        <w:rPr>
          <w:rFonts w:ascii="Calibri" w:hAnsi="Calibri"/>
          <w:color w:val="222222"/>
          <w:sz w:val="19"/>
        </w:rPr>
        <w:t>Initial Stop Loss is set to the breakout 20 SMA level. Validated with a 3% to 15% distance clamp. Candidates with SL distance &lt; 3% (noise-prone) or &gt; 15% (excessive drawdown risk) are strictly rejected.</w:t>
      </w:r>
    </w:p>
    <w:p>
      <w:pPr>
        <w:pStyle w:val="ListBullet"/>
        <w:spacing w:before="20" w:after="60" w:line="276" w:lineRule="auto"/>
      </w:pPr>
      <w:r>
        <w:rPr>
          <w:rFonts w:ascii="Calibri" w:hAnsi="Calibri"/>
          <w:b/>
          <w:color w:val="1B365D"/>
          <w:sz w:val="19"/>
        </w:rPr>
        <w:t>Position Sizing Formula:</w:t>
      </w:r>
      <w:r>
        <w:rPr>
          <w:rFonts w:ascii="Calibri" w:hAnsi="Calibri"/>
          <w:color w:val="222222"/>
          <w:sz w:val="19"/>
        </w:rPr>
        <w:t>Exactly 1.0% of Total Portfolio Value risked per trade: Quantity = floor((Total Portfolio Value * 0.01) / (Entry Price - Initial SL)).</w:t>
      </w:r>
    </w:p>
    <w:p>
      <w:pPr>
        <w:pStyle w:val="ListBullet"/>
        <w:spacing w:before="20" w:after="60" w:line="276" w:lineRule="auto"/>
      </w:pPr>
      <w:r>
        <w:rPr>
          <w:rFonts w:ascii="Calibri" w:hAnsi="Calibri"/>
          <w:b/>
          <w:color w:val="1B365D"/>
          <w:sz w:val="19"/>
        </w:rPr>
        <w:t>Profit Target:</w:t>
      </w:r>
      <w:r>
        <w:rPr>
          <w:rFonts w:ascii="Calibri" w:hAnsi="Calibri"/>
          <w:color w:val="222222"/>
          <w:sz w:val="19"/>
        </w:rPr>
        <w:t>Target = Entry Price + 2 * (Entry Price - Initial SL) providing an asymmetrical 1:2 Risk-to-Reward profile.</w:t>
      </w:r>
    </w:p>
    <w:p>
      <w:pPr>
        <w:pStyle w:val="ListBullet"/>
        <w:spacing w:before="20" w:after="60" w:line="276" w:lineRule="auto"/>
      </w:pPr>
      <w:r>
        <w:rPr>
          <w:rFonts w:ascii="Calibri" w:hAnsi="Calibri"/>
          <w:b/>
          <w:color w:val="1B365D"/>
          <w:sz w:val="19"/>
        </w:rPr>
        <w:t>Dynamic Trailing Stop:</w:t>
      </w:r>
      <w:r>
        <w:rPr>
          <w:rFonts w:ascii="Calibri" w:hAnsi="Calibri"/>
          <w:color w:val="222222"/>
          <w:sz w:val="19"/>
        </w:rPr>
        <w:t>20-day Exponential Moving Average (20 EMA). If 20 EMA &gt; Current SL, Stop Loss is ratcheted upward to 20 EMA. Stop Loss strictly moves upward and never downward.</w:t>
      </w:r>
    </w:p>
    <w:p>
      <w:pPr>
        <w:keepNext/>
        <w:spacing w:before="320" w:after="120"/>
      </w:pPr>
      <w:r>
        <w:rPr>
          <w:rFonts w:ascii="Calibri" w:hAnsi="Calibri"/>
          <w:b/>
          <w:color w:val="1B365D"/>
          <w:sz w:val="30"/>
        </w:rPr>
        <w:t>3. Global &amp; Indian Market Sentiment Analysis &amp; Guardrails</w:t>
      </w:r>
    </w:p>
    <w:p>
      <w:pPr>
        <w:spacing w:before="20" w:after="80" w:line="276" w:lineRule="auto"/>
      </w:pPr>
      <w:r>
        <w:rPr>
          <w:rFonts w:ascii="Calibri" w:hAnsi="Calibri"/>
          <w:i w:val="0"/>
          <w:color w:val="222222"/>
          <w:sz w:val="20"/>
        </w:rPr>
        <w:t>Rather than relying on isolated stock headlines, the system deploys a comprehensive dual-layer Market Sentiment Analyzer powered by Google News RSS feeds and Google Gemini 3.6-flash. It synthesizes macroeconomic trends and company-specific news into clear operational guardrails.</w:t>
      </w:r>
    </w:p>
    <w:p>
      <w:pPr>
        <w:keepNext/>
        <w:spacing w:before="240" w:after="80"/>
      </w:pPr>
      <w:r>
        <w:rPr>
          <w:rFonts w:ascii="Calibri" w:hAnsi="Calibri"/>
          <w:b/>
          <w:color w:val="2E5B88"/>
          <w:sz w:val="24"/>
        </w:rPr>
        <w:t>Macroeconomic Ingestion Scope</w:t>
      </w:r>
    </w:p>
    <w:p>
      <w:pPr>
        <w:pStyle w:val="ListBullet"/>
        <w:spacing w:before="20" w:after="60" w:line="276" w:lineRule="auto"/>
      </w:pPr>
      <w:r>
        <w:rPr>
          <w:rFonts w:ascii="Calibri" w:hAnsi="Calibri"/>
          <w:b/>
          <w:color w:val="1B365D"/>
          <w:sz w:val="19"/>
        </w:rPr>
        <w:t>Global Macro Intelligence:</w:t>
      </w:r>
      <w:r>
        <w:rPr>
          <w:rFonts w:ascii="Calibri" w:hAnsi="Calibri"/>
          <w:color w:val="222222"/>
          <w:sz w:val="19"/>
        </w:rPr>
        <w:t>US Markets (S&amp;P 500, Nasdaq 100), US Federal Reserve interest rate policy, 10-Year US Treasury yields, Brent/WTI Crude Oil, US Dollar Index (DXY), and global geopolitical conflicts.</w:t>
      </w:r>
    </w:p>
    <w:p>
      <w:pPr>
        <w:pStyle w:val="ListBullet"/>
        <w:spacing w:before="20" w:after="60" w:line="276" w:lineRule="auto"/>
      </w:pPr>
      <w:r>
        <w:rPr>
          <w:rFonts w:ascii="Calibri" w:hAnsi="Calibri"/>
          <w:b/>
          <w:color w:val="1B365D"/>
          <w:sz w:val="19"/>
        </w:rPr>
        <w:t>Indian Domestic Intelligence:</w:t>
      </w:r>
      <w:r>
        <w:rPr>
          <w:rFonts w:ascii="Calibri" w:hAnsi="Calibri"/>
          <w:color w:val="222222"/>
          <w:sz w:val="19"/>
        </w:rPr>
        <w:t>Nifty 50, Bank Nifty, FII &amp; DII net institutional liquidity flows, Reserve Bank of India (RBI) MPC announcements, and Rupee stability (USD/INR).</w:t>
      </w:r>
    </w:p>
    <w:p>
      <w:pPr>
        <w:pStyle w:val="ListBullet"/>
        <w:spacing w:before="20" w:after="60" w:line="276" w:lineRule="auto"/>
      </w:pPr>
      <w:r>
        <w:rPr>
          <w:rFonts w:ascii="Calibri" w:hAnsi="Calibri"/>
          <w:b/>
          <w:color w:val="1B365D"/>
          <w:sz w:val="19"/>
        </w:rPr>
        <w:t>Multi-Source Financial Ingestion:</w:t>
      </w:r>
      <w:r>
        <w:rPr>
          <w:rFonts w:ascii="Calibri" w:hAnsi="Calibri"/>
          <w:color w:val="222222"/>
          <w:sz w:val="19"/>
        </w:rPr>
        <w:t>Scrapes 35+ top business headlines from premier financial portals including Moneycontrol, Economic Times, Livemint, NDTV Profit, and Reuters.</w:t>
      </w:r>
    </w:p>
    <w:p>
      <w:pPr>
        <w:keepNext/>
        <w:spacing w:before="240" w:after="80"/>
      </w:pPr>
      <w:r>
        <w:rPr>
          <w:rFonts w:ascii="Calibri" w:hAnsi="Calibri"/>
          <w:b/>
          <w:color w:val="2E5B88"/>
          <w:sz w:val="24"/>
        </w:rPr>
        <w:t>Color-Coded Actionable Guardrail Directives</w:t>
      </w:r>
    </w:p>
    <w:p>
      <w:pPr>
        <w:spacing w:before="20" w:after="80" w:line="276" w:lineRule="auto"/>
      </w:pPr>
      <w:r>
        <w:rPr>
          <w:rFonts w:ascii="Calibri" w:hAnsi="Calibri"/>
          <w:i w:val="0"/>
          <w:color w:val="222222"/>
          <w:sz w:val="20"/>
        </w:rPr>
        <w:t>The Market Sentiment Engine categorizes market regimes into three distinct operational states: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2304"/>
            <w:shd w:fill="1B365D"/>
            <w:tcMar>
              <w:top w:w="120" w:type="dxa"/>
              <w:bottom w:w="120" w:type="dxa"/>
              <w:left w:w="140" w:type="dxa"/>
              <w:right w:w="140" w:type="dxa"/>
            </w:tcMar>
          </w:tcPr>
          <w:p>
            <w:pPr>
              <w:spacing w:before="40" w:after="40"/>
            </w:pPr>
            <w:r>
              <w:rPr>
                <w:rFonts w:ascii="Calibri" w:hAnsi="Calibri"/>
                <w:b/>
                <w:color w:val="FFFFFF"/>
                <w:sz w:val="19"/>
              </w:rPr>
              <w:t>Guardrail State</w:t>
            </w:r>
          </w:p>
        </w:tc>
        <w:tc>
          <w:tcPr>
            <w:tcW w:type="dxa" w:w="2592"/>
            <w:shd w:fill="1B365D"/>
            <w:tcMar>
              <w:top w:w="120" w:type="dxa"/>
              <w:bottom w:w="120" w:type="dxa"/>
              <w:left w:w="140" w:type="dxa"/>
              <w:right w:w="140" w:type="dxa"/>
            </w:tcMar>
          </w:tcPr>
          <w:p>
            <w:pPr>
              <w:spacing w:before="40" w:after="40"/>
            </w:pPr>
            <w:r>
              <w:rPr>
                <w:rFonts w:ascii="Calibri" w:hAnsi="Calibri"/>
                <w:b/>
                <w:color w:val="FFFFFF"/>
                <w:sz w:val="19"/>
              </w:rPr>
              <w:t>Market Sentiment Cues</w:t>
            </w:r>
          </w:p>
        </w:tc>
        <w:tc>
          <w:tcPr>
            <w:tcW w:type="dxa" w:w="2592"/>
            <w:shd w:fill="1B365D"/>
            <w:tcMar>
              <w:top w:w="120" w:type="dxa"/>
              <w:bottom w:w="120" w:type="dxa"/>
              <w:left w:w="140" w:type="dxa"/>
              <w:right w:w="140" w:type="dxa"/>
            </w:tcMar>
          </w:tcPr>
          <w:p>
            <w:pPr>
              <w:spacing w:before="40" w:after="40"/>
            </w:pPr>
            <w:r>
              <w:rPr>
                <w:rFonts w:ascii="Calibri" w:hAnsi="Calibri"/>
                <w:b/>
                <w:color w:val="FFFFFF"/>
                <w:sz w:val="19"/>
              </w:rPr>
              <w:t>Breakout Entries Action</w:t>
            </w:r>
          </w:p>
        </w:tc>
        <w:tc>
          <w:tcPr>
            <w:tcW w:type="dxa" w:w="2304"/>
            <w:shd w:fill="1B365D"/>
            <w:tcMar>
              <w:top w:w="120" w:type="dxa"/>
              <w:bottom w:w="120" w:type="dxa"/>
              <w:left w:w="140" w:type="dxa"/>
              <w:right w:w="140" w:type="dxa"/>
            </w:tcMar>
          </w:tcPr>
          <w:p>
            <w:pPr>
              <w:spacing w:before="40" w:after="40"/>
            </w:pPr>
            <w:r>
              <w:rPr>
                <w:rFonts w:ascii="Calibri" w:hAnsi="Calibri"/>
                <w:b/>
                <w:color w:val="FFFFFF"/>
                <w:sz w:val="19"/>
              </w:rPr>
              <w:t>Holding Defense Action</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 ALLOW (Risk-On)</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Bullish or stable global/domestic cues, strong institutional inflows, positive corporate earnings.</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Full capacity: Up to 3 breakout buys per day permitted.</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Standard 20 EMA trailing stop loss policy active.</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 SELECTIVE (Caution)</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Elevated volatility, mixed macro indicators, rangebound indices, foreign institutional selling.</w:t>
            </w:r>
          </w:p>
        </w:tc>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Selective capacity: Max 1 high-conviction breakout buy per day. Requires pristine volume surge.</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Monitor closely; tighter trailing stops enforced on vulnerable positions.</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 HALT (Risk-Off)</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Severe macro shocks, sharp Wall Street sell-offs, geopolitical escalation, crude oil spike, or panic.</w:t>
            </w:r>
          </w:p>
        </w:tc>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Zero capacity: All new breakout entries strictly HALTED (0 buys) for capital preservation.</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Holding Defense: Trailing stops on all open holdings tightened to Today's Low.</w:t>
            </w:r>
          </w:p>
        </w:tc>
      </w:tr>
    </w:tbl>
    <w:p>
      <w:pPr>
        <w:spacing w:after="80"/>
      </w:pPr>
    </w:p>
    <w:p>
      <w:pPr>
        <w:spacing w:before="20" w:after="80" w:line="276" w:lineRule="auto"/>
      </w:pPr>
      <w:r>
        <w:rPr>
          <w:rFonts w:ascii="Calibri" w:hAnsi="Calibri"/>
          <w:i w:val="0"/>
          <w:color w:val="222222"/>
          <w:sz w:val="20"/>
        </w:rPr>
        <w:t>Micro Stock-Level Sentiment: For each candidate breakout stock or open holding, the analyzer extracts recent company news. If micro sentiment is assessed as NEGATIVE (e.g., regulatory sanction, major governance dispute, sharp earnings miss), the screener automatically discards the candidate or tightens the open holding's stop loss to Today's Low.</w:t>
      </w:r>
    </w:p>
    <w:p>
      <w:pPr>
        <w:keepNext/>
        <w:spacing w:before="320" w:after="120"/>
      </w:pPr>
      <w:r>
        <w:rPr>
          <w:rFonts w:ascii="Calibri" w:hAnsi="Calibri"/>
          <w:b/>
          <w:color w:val="1B365D"/>
          <w:sz w:val="30"/>
        </w:rPr>
        <w:t>4. Comprehensive System Guardrails Matrix</w:t>
      </w:r>
    </w:p>
    <w:p>
      <w:pPr>
        <w:spacing w:before="20" w:after="80" w:line="276" w:lineRule="auto"/>
      </w:pPr>
      <w:r>
        <w:rPr>
          <w:rFonts w:ascii="Calibri" w:hAnsi="Calibri"/>
          <w:i w:val="0"/>
          <w:color w:val="222222"/>
          <w:sz w:val="20"/>
        </w:rPr>
        <w:t>The table below enumerates the multi-tier safety architecture protecting capital, preventing runaway loops, and ensuring container resilience: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2304"/>
            <w:shd w:fill="1B365D"/>
            <w:tcMar>
              <w:top w:w="120" w:type="dxa"/>
              <w:bottom w:w="120" w:type="dxa"/>
              <w:left w:w="140" w:type="dxa"/>
              <w:right w:w="140" w:type="dxa"/>
            </w:tcMar>
          </w:tcPr>
          <w:p>
            <w:pPr>
              <w:spacing w:before="40" w:after="40"/>
            </w:pPr>
            <w:r>
              <w:rPr>
                <w:rFonts w:ascii="Calibri" w:hAnsi="Calibri"/>
                <w:b/>
                <w:color w:val="FFFFFF"/>
                <w:sz w:val="19"/>
              </w:rPr>
              <w:t>Guardrail Name</w:t>
            </w:r>
          </w:p>
        </w:tc>
        <w:tc>
          <w:tcPr>
            <w:tcW w:type="dxa" w:w="1584"/>
            <w:shd w:fill="1B365D"/>
            <w:tcMar>
              <w:top w:w="120" w:type="dxa"/>
              <w:bottom w:w="120" w:type="dxa"/>
              <w:left w:w="140" w:type="dxa"/>
              <w:right w:w="140" w:type="dxa"/>
            </w:tcMar>
          </w:tcPr>
          <w:p>
            <w:pPr>
              <w:spacing w:before="40" w:after="40"/>
            </w:pPr>
            <w:r>
              <w:rPr>
                <w:rFonts w:ascii="Calibri" w:hAnsi="Calibri"/>
                <w:b/>
                <w:color w:val="FFFFFF"/>
                <w:sz w:val="19"/>
              </w:rPr>
              <w:t>System Scope</w:t>
            </w:r>
          </w:p>
        </w:tc>
        <w:tc>
          <w:tcPr>
            <w:tcW w:type="dxa" w:w="3600"/>
            <w:shd w:fill="1B365D"/>
            <w:tcMar>
              <w:top w:w="120" w:type="dxa"/>
              <w:bottom w:w="120" w:type="dxa"/>
              <w:left w:w="140" w:type="dxa"/>
              <w:right w:w="140" w:type="dxa"/>
            </w:tcMar>
          </w:tcPr>
          <w:p>
            <w:pPr>
              <w:spacing w:before="40" w:after="40"/>
            </w:pPr>
            <w:r>
              <w:rPr>
                <w:rFonts w:ascii="Calibri" w:hAnsi="Calibri"/>
                <w:b/>
                <w:color w:val="FFFFFF"/>
                <w:sz w:val="19"/>
              </w:rPr>
              <w:t>Operational Rule</w:t>
            </w:r>
          </w:p>
        </w:tc>
        <w:tc>
          <w:tcPr>
            <w:tcW w:type="dxa" w:w="2304"/>
            <w:shd w:fill="1B365D"/>
            <w:tcMar>
              <w:top w:w="120" w:type="dxa"/>
              <w:bottom w:w="120" w:type="dxa"/>
              <w:left w:w="140" w:type="dxa"/>
              <w:right w:w="140" w:type="dxa"/>
            </w:tcMar>
          </w:tcPr>
          <w:p>
            <w:pPr>
              <w:spacing w:before="40" w:after="40"/>
            </w:pPr>
            <w:r>
              <w:rPr>
                <w:rFonts w:ascii="Calibri" w:hAnsi="Calibri"/>
                <w:b/>
                <w:color w:val="FFFFFF"/>
                <w:sz w:val="19"/>
              </w:rPr>
              <w:t>Risk Mitigated</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DhanHQ Fallback Engine</w:t>
            </w:r>
          </w:p>
        </w:tc>
        <w:tc>
          <w:tcPr>
            <w:tcW w:type="dxa" w:w="1584"/>
            <w:shd w:fill="F7F9FB"/>
            <w:tcMar>
              <w:top w:w="80" w:type="dxa"/>
              <w:bottom w:w="80" w:type="dxa"/>
              <w:left w:w="140" w:type="dxa"/>
              <w:right w:w="140" w:type="dxa"/>
            </w:tcMar>
          </w:tcPr>
          <w:p>
            <w:pPr>
              <w:spacing w:before="40" w:after="40" w:line="269" w:lineRule="auto"/>
            </w:pPr>
            <w:r>
              <w:rPr>
                <w:rFonts w:ascii="Calibri" w:hAnsi="Calibri"/>
                <w:color w:val="222222"/>
                <w:sz w:val="18"/>
              </w:rPr>
              <w:t>Data Feed</w:t>
            </w:r>
          </w:p>
        </w:tc>
        <w:tc>
          <w:tcPr>
            <w:tcW w:type="dxa" w:w="3600"/>
            <w:shd w:fill="F7F9FB"/>
            <w:tcMar>
              <w:top w:w="80" w:type="dxa"/>
              <w:bottom w:w="80" w:type="dxa"/>
              <w:left w:w="140" w:type="dxa"/>
              <w:right w:w="140" w:type="dxa"/>
            </w:tcMar>
          </w:tcPr>
          <w:p>
            <w:pPr>
              <w:spacing w:before="40" w:after="40" w:line="269" w:lineRule="auto"/>
            </w:pPr>
            <w:r>
              <w:rPr>
                <w:rFonts w:ascii="Calibri" w:hAnsi="Calibri"/>
                <w:color w:val="222222"/>
                <w:sz w:val="18"/>
              </w:rPr>
              <w:t>Auto-switch to yfinance if token expires, invalid, or API times out</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Zero downtime; prevents screener and sync crashes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Double Buy Blocker</w:t>
            </w:r>
          </w:p>
        </w:tc>
        <w:tc>
          <w:tcPr>
            <w:tcW w:type="dxa" w:w="1584"/>
            <w:shd w:fill="FFFFFF"/>
            <w:tcMar>
              <w:top w:w="80" w:type="dxa"/>
              <w:bottom w:w="80" w:type="dxa"/>
              <w:left w:w="140" w:type="dxa"/>
              <w:right w:w="140" w:type="dxa"/>
            </w:tcMar>
          </w:tcPr>
          <w:p>
            <w:pPr>
              <w:spacing w:before="40" w:after="40" w:line="269" w:lineRule="auto"/>
            </w:pPr>
            <w:r>
              <w:rPr>
                <w:rFonts w:ascii="Calibri" w:hAnsi="Calibri"/>
                <w:color w:val="222222"/>
                <w:sz w:val="18"/>
              </w:rPr>
              <w:t>Portfolio</w:t>
            </w:r>
          </w:p>
        </w:tc>
        <w:tc>
          <w:tcPr>
            <w:tcW w:type="dxa" w:w="3600"/>
            <w:shd w:fill="FFFFFF"/>
            <w:tcMar>
              <w:top w:w="80" w:type="dxa"/>
              <w:bottom w:w="80" w:type="dxa"/>
              <w:left w:w="140" w:type="dxa"/>
              <w:right w:w="140" w:type="dxa"/>
            </w:tcMar>
          </w:tcPr>
          <w:p>
            <w:pPr>
              <w:spacing w:before="40" w:after="40" w:line="269" w:lineRule="auto"/>
            </w:pPr>
            <w:r>
              <w:rPr>
                <w:rFonts w:ascii="Calibri" w:hAnsi="Calibri"/>
                <w:color w:val="222222"/>
                <w:sz w:val="18"/>
              </w:rPr>
              <w:t>Rejects purchasing candidates with existing OPEN positions in Google Sheets</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Prevents single-stock over-concentration</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Max Portfolio Allocation</w:t>
            </w:r>
          </w:p>
        </w:tc>
        <w:tc>
          <w:tcPr>
            <w:tcW w:type="dxa" w:w="1584"/>
            <w:shd w:fill="F7F9FB"/>
            <w:tcMar>
              <w:top w:w="80" w:type="dxa"/>
              <w:bottom w:w="80" w:type="dxa"/>
              <w:left w:w="140" w:type="dxa"/>
              <w:right w:w="140" w:type="dxa"/>
            </w:tcMar>
          </w:tcPr>
          <w:p>
            <w:pPr>
              <w:spacing w:before="40" w:after="40" w:line="269" w:lineRule="auto"/>
            </w:pPr>
            <w:r>
              <w:rPr>
                <w:rFonts w:ascii="Calibri" w:hAnsi="Calibri"/>
                <w:color w:val="222222"/>
                <w:sz w:val="18"/>
              </w:rPr>
              <w:t>Portfolio</w:t>
            </w:r>
          </w:p>
        </w:tc>
        <w:tc>
          <w:tcPr>
            <w:tcW w:type="dxa" w:w="3600"/>
            <w:shd w:fill="F7F9FB"/>
            <w:tcMar>
              <w:top w:w="80" w:type="dxa"/>
              <w:bottom w:w="80" w:type="dxa"/>
              <w:left w:w="140" w:type="dxa"/>
              <w:right w:w="140" w:type="dxa"/>
            </w:tcMar>
          </w:tcPr>
          <w:p>
            <w:pPr>
              <w:spacing w:before="40" w:after="40" w:line="269" w:lineRule="auto"/>
            </w:pPr>
            <w:r>
              <w:rPr>
                <w:rFonts w:ascii="Calibri" w:hAnsi="Calibri"/>
                <w:color w:val="222222"/>
                <w:sz w:val="18"/>
              </w:rPr>
              <w:t>Limits aggregate open positions value to 90% of Total Portfolio Value</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Guarantees a permanent 10% cash buffer for risk control</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Daily Purchase Limit</w:t>
            </w:r>
          </w:p>
        </w:tc>
        <w:tc>
          <w:tcPr>
            <w:tcW w:type="dxa" w:w="1584"/>
            <w:shd w:fill="FFFFFF"/>
            <w:tcMar>
              <w:top w:w="80" w:type="dxa"/>
              <w:bottom w:w="80" w:type="dxa"/>
              <w:left w:w="140" w:type="dxa"/>
              <w:right w:w="140" w:type="dxa"/>
            </w:tcMar>
          </w:tcPr>
          <w:p>
            <w:pPr>
              <w:spacing w:before="40" w:after="40" w:line="269" w:lineRule="auto"/>
            </w:pPr>
            <w:r>
              <w:rPr>
                <w:rFonts w:ascii="Calibri" w:hAnsi="Calibri"/>
                <w:color w:val="222222"/>
                <w:sz w:val="18"/>
              </w:rPr>
              <w:t>Position Sizer</w:t>
            </w:r>
          </w:p>
        </w:tc>
        <w:tc>
          <w:tcPr>
            <w:tcW w:type="dxa" w:w="3600"/>
            <w:shd w:fill="FFFFFF"/>
            <w:tcMar>
              <w:top w:w="80" w:type="dxa"/>
              <w:bottom w:w="80" w:type="dxa"/>
              <w:left w:w="140" w:type="dxa"/>
              <w:right w:w="140" w:type="dxa"/>
            </w:tcMar>
          </w:tcPr>
          <w:p>
            <w:pPr>
              <w:spacing w:before="40" w:after="40" w:line="269" w:lineRule="auto"/>
            </w:pPr>
            <w:r>
              <w:rPr>
                <w:rFonts w:ascii="Calibri" w:hAnsi="Calibri"/>
                <w:color w:val="222222"/>
                <w:sz w:val="18"/>
              </w:rPr>
              <w:t>Maximum 3 breakout buys per daily scanning cycle (highest volume ratio first)</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Prevents capital depletion on runaway multi-breakout days</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Stop Loss Tightness Guard</w:t>
            </w:r>
          </w:p>
        </w:tc>
        <w:tc>
          <w:tcPr>
            <w:tcW w:type="dxa" w:w="1584"/>
            <w:shd w:fill="F7F9FB"/>
            <w:tcMar>
              <w:top w:w="80" w:type="dxa"/>
              <w:bottom w:w="80" w:type="dxa"/>
              <w:left w:w="140" w:type="dxa"/>
              <w:right w:w="140" w:type="dxa"/>
            </w:tcMar>
          </w:tcPr>
          <w:p>
            <w:pPr>
              <w:spacing w:before="40" w:after="40" w:line="269" w:lineRule="auto"/>
            </w:pPr>
            <w:r>
              <w:rPr>
                <w:rFonts w:ascii="Calibri" w:hAnsi="Calibri"/>
                <w:color w:val="222222"/>
                <w:sz w:val="18"/>
              </w:rPr>
              <w:t>Portfolio / Sizer</w:t>
            </w:r>
          </w:p>
        </w:tc>
        <w:tc>
          <w:tcPr>
            <w:tcW w:type="dxa" w:w="3600"/>
            <w:shd w:fill="F7F9FB"/>
            <w:tcMar>
              <w:top w:w="80" w:type="dxa"/>
              <w:bottom w:w="80" w:type="dxa"/>
              <w:left w:w="140" w:type="dxa"/>
              <w:right w:w="140" w:type="dxa"/>
            </w:tcMar>
          </w:tcPr>
          <w:p>
            <w:pPr>
              <w:spacing w:before="40" w:after="40" w:line="269" w:lineRule="auto"/>
            </w:pPr>
            <w:r>
              <w:rPr>
                <w:rFonts w:ascii="Calibri" w:hAnsi="Calibri"/>
                <w:color w:val="222222"/>
                <w:sz w:val="18"/>
              </w:rPr>
              <w:t>Rejects candidates if Initial Stop Loss distance &lt; 3% of Entry Price</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Prevents stop-outs from normal market noise</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Stop Loss Bloat Guard</w:t>
            </w:r>
          </w:p>
        </w:tc>
        <w:tc>
          <w:tcPr>
            <w:tcW w:type="dxa" w:w="1584"/>
            <w:shd w:fill="FFFFFF"/>
            <w:tcMar>
              <w:top w:w="80" w:type="dxa"/>
              <w:bottom w:w="80" w:type="dxa"/>
              <w:left w:w="140" w:type="dxa"/>
              <w:right w:w="140" w:type="dxa"/>
            </w:tcMar>
          </w:tcPr>
          <w:p>
            <w:pPr>
              <w:spacing w:before="40" w:after="40" w:line="269" w:lineRule="auto"/>
            </w:pPr>
            <w:r>
              <w:rPr>
                <w:rFonts w:ascii="Calibri" w:hAnsi="Calibri"/>
                <w:color w:val="222222"/>
                <w:sz w:val="18"/>
              </w:rPr>
              <w:t>Position Sizer</w:t>
            </w:r>
          </w:p>
        </w:tc>
        <w:tc>
          <w:tcPr>
            <w:tcW w:type="dxa" w:w="3600"/>
            <w:shd w:fill="FFFFFF"/>
            <w:tcMar>
              <w:top w:w="80" w:type="dxa"/>
              <w:bottom w:w="80" w:type="dxa"/>
              <w:left w:w="140" w:type="dxa"/>
              <w:right w:w="140" w:type="dxa"/>
            </w:tcMar>
          </w:tcPr>
          <w:p>
            <w:pPr>
              <w:spacing w:before="40" w:after="40" w:line="269" w:lineRule="auto"/>
            </w:pPr>
            <w:r>
              <w:rPr>
                <w:rFonts w:ascii="Calibri" w:hAnsi="Calibri"/>
                <w:color w:val="222222"/>
                <w:sz w:val="18"/>
              </w:rPr>
              <w:t>Rejects candidates if Initial Stop Loss distance &gt; 15% of Entry Price</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Eliminates high-drawdown trades with excessive risk</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Penny Stock Filter</w:t>
            </w:r>
          </w:p>
        </w:tc>
        <w:tc>
          <w:tcPr>
            <w:tcW w:type="dxa" w:w="1584"/>
            <w:shd w:fill="F7F9FB"/>
            <w:tcMar>
              <w:top w:w="80" w:type="dxa"/>
              <w:bottom w:w="80" w:type="dxa"/>
              <w:left w:w="140" w:type="dxa"/>
              <w:right w:w="140" w:type="dxa"/>
            </w:tcMar>
          </w:tcPr>
          <w:p>
            <w:pPr>
              <w:spacing w:before="40" w:after="40" w:line="269" w:lineRule="auto"/>
            </w:pPr>
            <w:r>
              <w:rPr>
                <w:rFonts w:ascii="Calibri" w:hAnsi="Calibri"/>
                <w:color w:val="222222"/>
                <w:sz w:val="18"/>
              </w:rPr>
              <w:t>Screener</w:t>
            </w:r>
          </w:p>
        </w:tc>
        <w:tc>
          <w:tcPr>
            <w:tcW w:type="dxa" w:w="3600"/>
            <w:shd w:fill="F7F9FB"/>
            <w:tcMar>
              <w:top w:w="80" w:type="dxa"/>
              <w:bottom w:w="80" w:type="dxa"/>
              <w:left w:w="140" w:type="dxa"/>
              <w:right w:w="140" w:type="dxa"/>
            </w:tcMar>
          </w:tcPr>
          <w:p>
            <w:pPr>
              <w:spacing w:before="40" w:after="40" w:line="269" w:lineRule="auto"/>
            </w:pPr>
            <w:r>
              <w:rPr>
                <w:rFonts w:ascii="Calibri" w:hAnsi="Calibri"/>
                <w:color w:val="222222"/>
                <w:sz w:val="18"/>
              </w:rPr>
              <w:t>Discards any stock with price &lt; ₹20</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Filters out illiquid micro-caps and pump-and-dump targets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Liquidity Volume Filter</w:t>
            </w:r>
          </w:p>
        </w:tc>
        <w:tc>
          <w:tcPr>
            <w:tcW w:type="dxa" w:w="1584"/>
            <w:shd w:fill="FFFFFF"/>
            <w:tcMar>
              <w:top w:w="80" w:type="dxa"/>
              <w:bottom w:w="80" w:type="dxa"/>
              <w:left w:w="140" w:type="dxa"/>
              <w:right w:w="140" w:type="dxa"/>
            </w:tcMar>
          </w:tcPr>
          <w:p>
            <w:pPr>
              <w:spacing w:before="40" w:after="40" w:line="269" w:lineRule="auto"/>
            </w:pPr>
            <w:r>
              <w:rPr>
                <w:rFonts w:ascii="Calibri" w:hAnsi="Calibri"/>
                <w:color w:val="222222"/>
                <w:sz w:val="18"/>
              </w:rPr>
              <w:t>Screener</w:t>
            </w:r>
          </w:p>
        </w:tc>
        <w:tc>
          <w:tcPr>
            <w:tcW w:type="dxa" w:w="3600"/>
            <w:shd w:fill="FFFFFF"/>
            <w:tcMar>
              <w:top w:w="80" w:type="dxa"/>
              <w:bottom w:w="80" w:type="dxa"/>
              <w:left w:w="140" w:type="dxa"/>
              <w:right w:w="140" w:type="dxa"/>
            </w:tcMar>
          </w:tcPr>
          <w:p>
            <w:pPr>
              <w:spacing w:before="40" w:after="40" w:line="269" w:lineRule="auto"/>
            </w:pPr>
            <w:r>
              <w:rPr>
                <w:rFonts w:ascii="Calibri" w:hAnsi="Calibri"/>
                <w:color w:val="222222"/>
                <w:sz w:val="18"/>
              </w:rPr>
              <w:t>Discards any stock with 20-day Volume SMA &lt; 50,000 shares</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Eliminates slippage traps and illiquid trading halts</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Market Sentiment Guardrails</w:t>
            </w:r>
          </w:p>
        </w:tc>
        <w:tc>
          <w:tcPr>
            <w:tcW w:type="dxa" w:w="1584"/>
            <w:shd w:fill="F7F9FB"/>
            <w:tcMar>
              <w:top w:w="80" w:type="dxa"/>
              <w:bottom w:w="80" w:type="dxa"/>
              <w:left w:w="140" w:type="dxa"/>
              <w:right w:w="140" w:type="dxa"/>
            </w:tcMar>
          </w:tcPr>
          <w:p>
            <w:pPr>
              <w:spacing w:before="40" w:after="40" w:line="269" w:lineRule="auto"/>
            </w:pPr>
            <w:r>
              <w:rPr>
                <w:rFonts w:ascii="Calibri" w:hAnsi="Calibri"/>
                <w:color w:val="222222"/>
                <w:sz w:val="18"/>
              </w:rPr>
              <w:t>Macro / Micro</w:t>
            </w:r>
          </w:p>
        </w:tc>
        <w:tc>
          <w:tcPr>
            <w:tcW w:type="dxa" w:w="3600"/>
            <w:shd w:fill="F7F9FB"/>
            <w:tcMar>
              <w:top w:w="80" w:type="dxa"/>
              <w:bottom w:w="80" w:type="dxa"/>
              <w:left w:w="140" w:type="dxa"/>
              <w:right w:w="140" w:type="dxa"/>
            </w:tcMar>
          </w:tcPr>
          <w:p>
            <w:pPr>
              <w:spacing w:before="40" w:after="40" w:line="269" w:lineRule="auto"/>
            </w:pPr>
            <w:r>
              <w:rPr>
                <w:rFonts w:ascii="Calibri" w:hAnsi="Calibri"/>
                <w:color w:val="222222"/>
                <w:sz w:val="18"/>
              </w:rPr>
              <w:t>Evaluates Global/Indian cues; executes HALT/SELECTIVE/ALLOW &amp; Day's Low SL</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Protects capital from broad market sell-offs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Google Sheets 429 Retry</w:t>
            </w:r>
          </w:p>
        </w:tc>
        <w:tc>
          <w:tcPr>
            <w:tcW w:type="dxa" w:w="1584"/>
            <w:shd w:fill="FFFFFF"/>
            <w:tcMar>
              <w:top w:w="80" w:type="dxa"/>
              <w:bottom w:w="80" w:type="dxa"/>
              <w:left w:w="140" w:type="dxa"/>
              <w:right w:w="140" w:type="dxa"/>
            </w:tcMar>
          </w:tcPr>
          <w:p>
            <w:pPr>
              <w:spacing w:before="40" w:after="40" w:line="269" w:lineRule="auto"/>
            </w:pPr>
            <w:r>
              <w:rPr>
                <w:rFonts w:ascii="Calibri" w:hAnsi="Calibri"/>
                <w:color w:val="222222"/>
                <w:sz w:val="18"/>
              </w:rPr>
              <w:t>Database</w:t>
            </w:r>
          </w:p>
        </w:tc>
        <w:tc>
          <w:tcPr>
            <w:tcW w:type="dxa" w:w="3600"/>
            <w:shd w:fill="FFFFFF"/>
            <w:tcMar>
              <w:top w:w="80" w:type="dxa"/>
              <w:bottom w:w="80" w:type="dxa"/>
              <w:left w:w="140" w:type="dxa"/>
              <w:right w:w="140" w:type="dxa"/>
            </w:tcMar>
          </w:tcPr>
          <w:p>
            <w:pPr>
              <w:spacing w:before="40" w:after="40" w:line="269" w:lineRule="auto"/>
            </w:pPr>
            <w:r>
              <w:rPr>
                <w:rFonts w:ascii="Calibri" w:hAnsi="Calibri"/>
                <w:color w:val="222222"/>
                <w:sz w:val="18"/>
              </w:rPr>
              <w:t>Exponential sleep backoff (2s, 4s, 8s) on Google Sheets 429 rate limit errors</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Prevents quota exhaustion crashes during rapid updates</w:t>
            </w:r>
          </w:p>
        </w:tc>
      </w:tr>
      <w:tr>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Memory Leak Guard</w:t>
            </w:r>
          </w:p>
        </w:tc>
        <w:tc>
          <w:tcPr>
            <w:tcW w:type="dxa" w:w="1584"/>
            <w:shd w:fill="F7F9FB"/>
            <w:tcMar>
              <w:top w:w="80" w:type="dxa"/>
              <w:bottom w:w="80" w:type="dxa"/>
              <w:left w:w="140" w:type="dxa"/>
              <w:right w:w="140" w:type="dxa"/>
            </w:tcMar>
          </w:tcPr>
          <w:p>
            <w:pPr>
              <w:spacing w:before="40" w:after="40" w:line="269" w:lineRule="auto"/>
            </w:pPr>
            <w:r>
              <w:rPr>
                <w:rFonts w:ascii="Calibri" w:hAnsi="Calibri"/>
                <w:color w:val="222222"/>
                <w:sz w:val="18"/>
              </w:rPr>
              <w:t>Runtime</w:t>
            </w:r>
          </w:p>
        </w:tc>
        <w:tc>
          <w:tcPr>
            <w:tcW w:type="dxa" w:w="3600"/>
            <w:shd w:fill="F7F9FB"/>
            <w:tcMar>
              <w:top w:w="80" w:type="dxa"/>
              <w:bottom w:w="80" w:type="dxa"/>
              <w:left w:w="140" w:type="dxa"/>
              <w:right w:w="140" w:type="dxa"/>
            </w:tcMar>
          </w:tcPr>
          <w:p>
            <w:pPr>
              <w:spacing w:before="40" w:after="40" w:line="269" w:lineRule="auto"/>
            </w:pPr>
            <w:r>
              <w:rPr>
                <w:rFonts w:ascii="Calibri" w:hAnsi="Calibri"/>
                <w:color w:val="222222"/>
                <w:sz w:val="18"/>
              </w:rPr>
              <w:t>threads=False in yfinance, TZ cache defaults, explicit gc.collect()</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Prevents Render 512MB RAM container out-of-memory crashes</w:t>
            </w:r>
          </w:p>
        </w:tc>
      </w:tr>
      <w:tr>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Self-Healing Supervisor</w:t>
            </w:r>
          </w:p>
        </w:tc>
        <w:tc>
          <w:tcPr>
            <w:tcW w:type="dxa" w:w="1584"/>
            <w:shd w:fill="FFFFFF"/>
            <w:tcMar>
              <w:top w:w="80" w:type="dxa"/>
              <w:bottom w:w="80" w:type="dxa"/>
              <w:left w:w="140" w:type="dxa"/>
              <w:right w:w="140" w:type="dxa"/>
            </w:tcMar>
          </w:tcPr>
          <w:p>
            <w:pPr>
              <w:spacing w:before="40" w:after="40" w:line="269" w:lineRule="auto"/>
            </w:pPr>
            <w:r>
              <w:rPr>
                <w:rFonts w:ascii="Calibri" w:hAnsi="Calibri"/>
                <w:color w:val="222222"/>
                <w:sz w:val="18"/>
              </w:rPr>
              <w:t>Process / Cloud</w:t>
            </w:r>
          </w:p>
        </w:tc>
        <w:tc>
          <w:tcPr>
            <w:tcW w:type="dxa" w:w="3600"/>
            <w:shd w:fill="FFFFFF"/>
            <w:tcMar>
              <w:top w:w="80" w:type="dxa"/>
              <w:bottom w:w="80" w:type="dxa"/>
              <w:left w:w="140" w:type="dxa"/>
              <w:right w:w="140" w:type="dxa"/>
            </w:tcMar>
          </w:tcPr>
          <w:p>
            <w:pPr>
              <w:spacing w:before="40" w:after="40" w:line="269" w:lineRule="auto"/>
            </w:pPr>
            <w:r>
              <w:rPr>
                <w:rFonts w:ascii="Calibri" w:hAnsi="Calibri"/>
                <w:color w:val="222222"/>
                <w:sz w:val="18"/>
              </w:rPr>
              <w:t>start.sh restart loop recovering from Telegram 409 conflict errors in 5s</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Guarantees zero-downtime rolling deploys and process recovery</w:t>
            </w:r>
          </w:p>
        </w:tc>
      </w:tr>
    </w:tbl>
    <w:p>
      <w:pPr>
        <w:keepNext/>
        <w:spacing w:before="320" w:after="120"/>
      </w:pPr>
      <w:r>
        <w:rPr>
          <w:rFonts w:ascii="Calibri" w:hAnsi="Calibri"/>
          <w:b/>
          <w:color w:val="1B365D"/>
          <w:sz w:val="30"/>
        </w:rPr>
        <w:t>5. Google Sheets Relational Database Architecture</w:t>
      </w:r>
    </w:p>
    <w:p>
      <w:pPr>
        <w:spacing w:before="20" w:after="80" w:line="276" w:lineRule="auto"/>
      </w:pPr>
      <w:r>
        <w:rPr>
          <w:rFonts w:ascii="Calibri" w:hAnsi="Calibri"/>
          <w:i w:val="0"/>
          <w:color w:val="222222"/>
          <w:sz w:val="20"/>
        </w:rPr>
        <w:t>The cloud database resides within Google Sheets under the workbook name 'NSE_Swing_Trading_Portfolio_1'. The schema consists of four relational worksheets:</w:t>
      </w:r>
    </w:p>
    <w:p>
      <w:pPr>
        <w:keepNext/>
        <w:spacing w:before="240" w:after="80"/>
      </w:pPr>
      <w:r>
        <w:rPr>
          <w:rFonts w:ascii="Calibri" w:hAnsi="Calibri"/>
          <w:b/>
          <w:color w:val="2E5B88"/>
          <w:sz w:val="24"/>
        </w:rPr>
        <w:t>Worksheet 1: 'Holdings' (14 Relational Columns)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1152"/>
            <w:shd w:fill="1B365D"/>
            <w:tcMar>
              <w:top w:w="120" w:type="dxa"/>
              <w:bottom w:w="120" w:type="dxa"/>
              <w:left w:w="140" w:type="dxa"/>
              <w:right w:w="140" w:type="dxa"/>
            </w:tcMar>
          </w:tcPr>
          <w:p>
            <w:pPr>
              <w:spacing w:before="40" w:after="40"/>
            </w:pPr>
            <w:r>
              <w:rPr>
                <w:rFonts w:ascii="Calibri" w:hAnsi="Calibri"/>
                <w:b/>
                <w:color w:val="FFFFFF"/>
                <w:sz w:val="19"/>
              </w:rPr>
              <w:t>Col Index</w:t>
            </w:r>
          </w:p>
        </w:tc>
        <w:tc>
          <w:tcPr>
            <w:tcW w:type="dxa" w:w="2016"/>
            <w:shd w:fill="1B365D"/>
            <w:tcMar>
              <w:top w:w="120" w:type="dxa"/>
              <w:bottom w:w="120" w:type="dxa"/>
              <w:left w:w="140" w:type="dxa"/>
              <w:right w:w="140" w:type="dxa"/>
            </w:tcMar>
          </w:tcPr>
          <w:p>
            <w:pPr>
              <w:spacing w:before="40" w:after="40"/>
            </w:pPr>
            <w:r>
              <w:rPr>
                <w:rFonts w:ascii="Calibri" w:hAnsi="Calibri"/>
                <w:b/>
                <w:color w:val="FFFFFF"/>
                <w:sz w:val="19"/>
              </w:rPr>
              <w:t>Header Name</w:t>
            </w:r>
          </w:p>
        </w:tc>
        <w:tc>
          <w:tcPr>
            <w:tcW w:type="dxa" w:w="2016"/>
            <w:shd w:fill="1B365D"/>
            <w:tcMar>
              <w:top w:w="120" w:type="dxa"/>
              <w:bottom w:w="120" w:type="dxa"/>
              <w:left w:w="140" w:type="dxa"/>
              <w:right w:w="140" w:type="dxa"/>
            </w:tcMar>
          </w:tcPr>
          <w:p>
            <w:pPr>
              <w:spacing w:before="40" w:after="40"/>
            </w:pPr>
            <w:r>
              <w:rPr>
                <w:rFonts w:ascii="Calibri" w:hAnsi="Calibri"/>
                <w:b/>
                <w:color w:val="FFFFFF"/>
                <w:sz w:val="19"/>
              </w:rPr>
              <w:t>Data Type</w:t>
            </w:r>
          </w:p>
        </w:tc>
        <w:tc>
          <w:tcPr>
            <w:tcW w:type="dxa" w:w="4608"/>
            <w:shd w:fill="1B365D"/>
            <w:tcMar>
              <w:top w:w="120" w:type="dxa"/>
              <w:bottom w:w="120" w:type="dxa"/>
              <w:left w:w="140" w:type="dxa"/>
              <w:right w:w="140" w:type="dxa"/>
            </w:tcMar>
          </w:tcPr>
          <w:p>
            <w:pPr>
              <w:spacing w:before="40" w:after="40"/>
            </w:pPr>
            <w:r>
              <w:rPr>
                <w:rFonts w:ascii="Calibri" w:hAnsi="Calibri"/>
                <w:b/>
                <w:color w:val="FFFFFF"/>
                <w:sz w:val="19"/>
              </w:rPr>
              <w:t>Description &amp; Business Logic</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1</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Ticker</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NSE ticker with .NS suffix (e.g. RELIANCE.NS, TCS.NS)</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2</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Entry Date</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Date (YYYY-MM-DD)</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Date when the breakout position was opened</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3</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Entry Price</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Execution price at time of purchase</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4</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Quantity</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Integer</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Number of shares allocated based on risk formula</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5</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Entry Value</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Quantity * Entry Price</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6</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Initial SL</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Stop loss calculated at entry (20 SMA for P1, 2x ATR for P2)</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7</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Current SL</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Trailing stop loss (ratcheted upward to 20 EMA)</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8</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Target</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Profit target based on 1:2 Risk-to-Reward ratio</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9</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Status</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Position state: OPEN or CLOSED</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10</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Exit Date</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Date (YYYY-MM-DD)</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Date when the position was closed (or blank if OPEN)</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11</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Exit Price</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Realized exit price from live feed or AMO execution</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12</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Exit Value</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Quantity * Exit Price</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13</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PnL</w:t>
            </w:r>
          </w:p>
        </w:tc>
        <w:tc>
          <w:tcPr>
            <w:tcW w:type="dxa" w:w="2016"/>
            <w:shd w:fill="F7F9FB"/>
            <w:tcMar>
              <w:top w:w="80" w:type="dxa"/>
              <w:bottom w:w="80" w:type="dxa"/>
              <w:left w:w="140" w:type="dxa"/>
              <w:right w:w="140" w:type="dxa"/>
            </w:tcMar>
          </w:tcPr>
          <w:p>
            <w:pPr>
              <w:spacing w:before="40" w:after="40" w:line="269" w:lineRule="auto"/>
            </w:pPr>
            <w:r>
              <w:rPr>
                <w:rFonts w:ascii="Calibri" w:hAnsi="Calibri"/>
                <w:color w:val="222222"/>
                <w:sz w:val="18"/>
              </w:rPr>
              <w:t>Float</w:t>
            </w:r>
          </w:p>
        </w:tc>
        <w:tc>
          <w:tcPr>
            <w:tcW w:type="dxa" w:w="4608"/>
            <w:shd w:fill="F7F9FB"/>
            <w:tcMar>
              <w:top w:w="80" w:type="dxa"/>
              <w:bottom w:w="80" w:type="dxa"/>
              <w:left w:w="140" w:type="dxa"/>
              <w:right w:w="140" w:type="dxa"/>
            </w:tcMar>
          </w:tcPr>
          <w:p>
            <w:pPr>
              <w:spacing w:before="40" w:after="40" w:line="269" w:lineRule="auto"/>
            </w:pPr>
            <w:r>
              <w:rPr>
                <w:rFonts w:ascii="Calibri" w:hAnsi="Calibri"/>
                <w:color w:val="222222"/>
                <w:sz w:val="18"/>
              </w:rPr>
              <w:t>Realized profit/loss in INR (Exit Value - Entry Value)</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14</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Exit Reason</w:t>
            </w:r>
          </w:p>
        </w:tc>
        <w:tc>
          <w:tcPr>
            <w:tcW w:type="dxa" w:w="2016"/>
            <w:shd w:fill="FFFFFF"/>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608"/>
            <w:shd w:fill="FFFFFF"/>
            <w:tcMar>
              <w:top w:w="80" w:type="dxa"/>
              <w:bottom w:w="80" w:type="dxa"/>
              <w:left w:w="140" w:type="dxa"/>
              <w:right w:w="140" w:type="dxa"/>
            </w:tcMar>
          </w:tcPr>
          <w:p>
            <w:pPr>
              <w:spacing w:before="40" w:after="40" w:line="269" w:lineRule="auto"/>
            </w:pPr>
            <w:r>
              <w:rPr>
                <w:rFonts w:ascii="Calibri" w:hAnsi="Calibri"/>
                <w:color w:val="222222"/>
                <w:sz w:val="18"/>
              </w:rPr>
              <w:t>Reason: Target Hit, Stop Loss Hit, or Manual Exit</w:t>
            </w:r>
          </w:p>
        </w:tc>
      </w:tr>
    </w:tbl>
    <w:p>
      <w:pPr>
        <w:keepNext/>
        <w:spacing w:before="240" w:after="80"/>
      </w:pPr>
      <w:r>
        <w:rPr>
          <w:rFonts w:ascii="Calibri" w:hAnsi="Calibri"/>
          <w:b/>
          <w:color w:val="2E5B88"/>
          <w:sz w:val="24"/>
        </w:rPr>
        <w:t>Worksheet 2: 'Account' (2 Columns)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rPr>
          <w:tblHeader/>
        </w:trPr>
        <w:tc>
          <w:tcPr>
            <w:tcW w:type="dxa" w:w="2880"/>
            <w:shd w:fill="1B365D"/>
            <w:tcMar>
              <w:top w:w="120" w:type="dxa"/>
              <w:bottom w:w="120" w:type="dxa"/>
              <w:left w:w="140" w:type="dxa"/>
              <w:right w:w="140" w:type="dxa"/>
            </w:tcMar>
          </w:tcPr>
          <w:p>
            <w:pPr>
              <w:spacing w:before="40" w:after="40"/>
            </w:pPr>
            <w:r>
              <w:rPr>
                <w:rFonts w:ascii="Calibri" w:hAnsi="Calibri"/>
                <w:b/>
                <w:color w:val="FFFFFF"/>
                <w:sz w:val="19"/>
              </w:rPr>
              <w:t>Parameter</w:t>
            </w:r>
          </w:p>
        </w:tc>
        <w:tc>
          <w:tcPr>
            <w:tcW w:type="dxa" w:w="2160"/>
            <w:shd w:fill="1B365D"/>
            <w:tcMar>
              <w:top w:w="120" w:type="dxa"/>
              <w:bottom w:w="120" w:type="dxa"/>
              <w:left w:w="140" w:type="dxa"/>
              <w:right w:w="140" w:type="dxa"/>
            </w:tcMar>
          </w:tcPr>
          <w:p>
            <w:pPr>
              <w:spacing w:before="40" w:after="40"/>
            </w:pPr>
            <w:r>
              <w:rPr>
                <w:rFonts w:ascii="Calibri" w:hAnsi="Calibri"/>
                <w:b/>
                <w:color w:val="FFFFFF"/>
                <w:sz w:val="19"/>
              </w:rPr>
              <w:t>Default Value</w:t>
            </w:r>
          </w:p>
        </w:tc>
        <w:tc>
          <w:tcPr>
            <w:tcW w:type="dxa" w:w="4752"/>
            <w:shd w:fill="1B365D"/>
            <w:tcMar>
              <w:top w:w="120" w:type="dxa"/>
              <w:bottom w:w="120" w:type="dxa"/>
              <w:left w:w="140" w:type="dxa"/>
              <w:right w:w="140" w:type="dxa"/>
            </w:tcMar>
          </w:tcPr>
          <w:p>
            <w:pPr>
              <w:spacing w:before="40" w:after="40"/>
            </w:pPr>
            <w:r>
              <w:rPr>
                <w:rFonts w:ascii="Calibri" w:hAnsi="Calibri"/>
                <w:b/>
                <w:color w:val="FFFFFF"/>
                <w:sz w:val="19"/>
              </w:rPr>
              <w:t>Description</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Total Portfolio Value</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₹1,000,000.00</w:t>
            </w:r>
          </w:p>
        </w:tc>
        <w:tc>
          <w:tcPr>
            <w:tcW w:type="dxa" w:w="4752"/>
            <w:shd w:fill="F7F9FB"/>
            <w:tcMar>
              <w:top w:w="80" w:type="dxa"/>
              <w:bottom w:w="80" w:type="dxa"/>
              <w:left w:w="140" w:type="dxa"/>
              <w:right w:w="140" w:type="dxa"/>
            </w:tcMar>
          </w:tcPr>
          <w:p>
            <w:pPr>
              <w:spacing w:before="40" w:after="40" w:line="269" w:lineRule="auto"/>
            </w:pPr>
            <w:r>
              <w:rPr>
                <w:rFonts w:ascii="Calibri" w:hAnsi="Calibri"/>
                <w:color w:val="222222"/>
                <w:sz w:val="18"/>
              </w:rPr>
              <w:t>Sum of Cash Balance + Current Market Value of Open Positions</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Cash Balance</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₹1,000,000.00</w:t>
            </w:r>
          </w:p>
        </w:tc>
        <w:tc>
          <w:tcPr>
            <w:tcW w:type="dxa" w:w="4752"/>
            <w:shd w:fill="FFFFFF"/>
            <w:tcMar>
              <w:top w:w="80" w:type="dxa"/>
              <w:bottom w:w="80" w:type="dxa"/>
              <w:left w:w="140" w:type="dxa"/>
              <w:right w:w="140" w:type="dxa"/>
            </w:tcMar>
          </w:tcPr>
          <w:p>
            <w:pPr>
              <w:spacing w:before="40" w:after="40" w:line="269" w:lineRule="auto"/>
            </w:pPr>
            <w:r>
              <w:rPr>
                <w:rFonts w:ascii="Calibri" w:hAnsi="Calibri"/>
                <w:color w:val="222222"/>
                <w:sz w:val="18"/>
              </w:rPr>
              <w:t>Liquid unallocated capital available for purchasing new breakouts</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Risk Percent</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0.01 (1.0%)</w:t>
            </w:r>
          </w:p>
        </w:tc>
        <w:tc>
          <w:tcPr>
            <w:tcW w:type="dxa" w:w="4752"/>
            <w:shd w:fill="F7F9FB"/>
            <w:tcMar>
              <w:top w:w="80" w:type="dxa"/>
              <w:bottom w:w="80" w:type="dxa"/>
              <w:left w:w="140" w:type="dxa"/>
              <w:right w:w="140" w:type="dxa"/>
            </w:tcMar>
          </w:tcPr>
          <w:p>
            <w:pPr>
              <w:spacing w:before="40" w:after="40" w:line="269" w:lineRule="auto"/>
            </w:pPr>
            <w:r>
              <w:rPr>
                <w:rFonts w:ascii="Calibri" w:hAnsi="Calibri"/>
                <w:color w:val="222222"/>
                <w:sz w:val="18"/>
              </w:rPr>
              <w:t>Percentage of Total Portfolio Value risked per single trade setup</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Initial Capital</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₹1,000,000.00</w:t>
            </w:r>
          </w:p>
        </w:tc>
        <w:tc>
          <w:tcPr>
            <w:tcW w:type="dxa" w:w="4752"/>
            <w:shd w:fill="FFFFFF"/>
            <w:tcMar>
              <w:top w:w="80" w:type="dxa"/>
              <w:bottom w:w="80" w:type="dxa"/>
              <w:left w:w="140" w:type="dxa"/>
              <w:right w:w="140" w:type="dxa"/>
            </w:tcMar>
          </w:tcPr>
          <w:p>
            <w:pPr>
              <w:spacing w:before="40" w:after="40" w:line="269" w:lineRule="auto"/>
            </w:pPr>
            <w:r>
              <w:rPr>
                <w:rFonts w:ascii="Calibri" w:hAnsi="Calibri"/>
                <w:color w:val="222222"/>
                <w:sz w:val="18"/>
              </w:rPr>
              <w:t>Baseline reference for Total Return %, CAGR %, and XIRR % calculations</w:t>
            </w:r>
          </w:p>
        </w:tc>
      </w:tr>
    </w:tbl>
    <w:p>
      <w:pPr>
        <w:keepNext/>
        <w:spacing w:before="240" w:after="80"/>
      </w:pPr>
      <w:r>
        <w:rPr>
          <w:rFonts w:ascii="Calibri" w:hAnsi="Calibri"/>
          <w:b/>
          <w:color w:val="2E5B88"/>
          <w:sz w:val="24"/>
        </w:rPr>
        <w:t>Worksheet 3: 'TelegramChats' (1 Column)</w:t>
      </w:r>
    </w:p>
    <w:p>
      <w:pPr>
        <w:spacing w:before="20" w:after="80" w:line="276" w:lineRule="auto"/>
      </w:pPr>
      <w:r>
        <w:rPr>
          <w:rFonts w:ascii="Calibri" w:hAnsi="Calibri"/>
          <w:i w:val="0"/>
          <w:color w:val="222222"/>
          <w:sz w:val="20"/>
        </w:rPr>
        <w:t>Contains registered Telegram 'ChatID' entries. Whenever an authorized user activates the bot via /start or /menu, their Chat ID is persisted to ensure uninterrupted delivery of automated scan reports and exit alerts.</w:t>
      </w:r>
    </w:p>
    <w:p>
      <w:pPr>
        <w:keepNext/>
        <w:spacing w:before="240" w:after="80"/>
      </w:pPr>
      <w:r>
        <w:rPr>
          <w:rFonts w:ascii="Calibri" w:hAnsi="Calibri"/>
          <w:b/>
          <w:color w:val="2E5B88"/>
          <w:sz w:val="24"/>
        </w:rPr>
        <w:t>Worksheet 4: 'Schedules' (6 Columns)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1152"/>
            <w:shd w:fill="1B365D"/>
            <w:tcMar>
              <w:top w:w="120" w:type="dxa"/>
              <w:bottom w:w="120" w:type="dxa"/>
              <w:left w:w="140" w:type="dxa"/>
              <w:right w:w="140" w:type="dxa"/>
            </w:tcMar>
          </w:tcPr>
          <w:p>
            <w:pPr>
              <w:spacing w:before="40" w:after="40"/>
            </w:pPr>
            <w:r>
              <w:rPr>
                <w:rFonts w:ascii="Calibri" w:hAnsi="Calibri"/>
                <w:b/>
                <w:color w:val="FFFFFF"/>
                <w:sz w:val="19"/>
              </w:rPr>
              <w:t>Col</w:t>
            </w:r>
          </w:p>
        </w:tc>
        <w:tc>
          <w:tcPr>
            <w:tcW w:type="dxa" w:w="2160"/>
            <w:shd w:fill="1B365D"/>
            <w:tcMar>
              <w:top w:w="120" w:type="dxa"/>
              <w:bottom w:w="120" w:type="dxa"/>
              <w:left w:w="140" w:type="dxa"/>
              <w:right w:w="140" w:type="dxa"/>
            </w:tcMar>
          </w:tcPr>
          <w:p>
            <w:pPr>
              <w:spacing w:before="40" w:after="40"/>
            </w:pPr>
            <w:r>
              <w:rPr>
                <w:rFonts w:ascii="Calibri" w:hAnsi="Calibri"/>
                <w:b/>
                <w:color w:val="FFFFFF"/>
                <w:sz w:val="19"/>
              </w:rPr>
              <w:t>Parameter</w:t>
            </w:r>
          </w:p>
        </w:tc>
        <w:tc>
          <w:tcPr>
            <w:tcW w:type="dxa" w:w="2160"/>
            <w:shd w:fill="1B365D"/>
            <w:tcMar>
              <w:top w:w="120" w:type="dxa"/>
              <w:bottom w:w="120" w:type="dxa"/>
              <w:left w:w="140" w:type="dxa"/>
              <w:right w:w="140" w:type="dxa"/>
            </w:tcMar>
          </w:tcPr>
          <w:p>
            <w:pPr>
              <w:spacing w:before="40" w:after="40"/>
            </w:pPr>
            <w:r>
              <w:rPr>
                <w:rFonts w:ascii="Calibri" w:hAnsi="Calibri"/>
                <w:b/>
                <w:color w:val="FFFFFF"/>
                <w:sz w:val="19"/>
              </w:rPr>
              <w:t>Type</w:t>
            </w:r>
          </w:p>
        </w:tc>
        <w:tc>
          <w:tcPr>
            <w:tcW w:type="dxa" w:w="4320"/>
            <w:shd w:fill="1B365D"/>
            <w:tcMar>
              <w:top w:w="120" w:type="dxa"/>
              <w:bottom w:w="120" w:type="dxa"/>
              <w:left w:w="140" w:type="dxa"/>
              <w:right w:w="140" w:type="dxa"/>
            </w:tcMar>
          </w:tcPr>
          <w:p>
            <w:pPr>
              <w:spacing w:before="40" w:after="40"/>
            </w:pPr>
            <w:r>
              <w:rPr>
                <w:rFonts w:ascii="Calibri" w:hAnsi="Calibri"/>
                <w:b/>
                <w:color w:val="FFFFFF"/>
                <w:sz w:val="19"/>
              </w:rPr>
              <w:t>Description &amp; Usage</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1-2</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Date &amp; Time</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String / IST Time</w:t>
            </w:r>
          </w:p>
        </w:tc>
        <w:tc>
          <w:tcPr>
            <w:tcW w:type="dxa" w:w="4320"/>
            <w:shd w:fill="F7F9FB"/>
            <w:tcMar>
              <w:top w:w="80" w:type="dxa"/>
              <w:bottom w:w="80" w:type="dxa"/>
              <w:left w:w="140" w:type="dxa"/>
              <w:right w:w="140" w:type="dxa"/>
            </w:tcMar>
          </w:tcPr>
          <w:p>
            <w:pPr>
              <w:spacing w:before="40" w:after="40" w:line="269" w:lineRule="auto"/>
            </w:pPr>
            <w:r>
              <w:rPr>
                <w:rFonts w:ascii="Calibri" w:hAnsi="Calibri"/>
                <w:color w:val="222222"/>
                <w:sz w:val="18"/>
              </w:rPr>
              <w:t>Recurrence rule (DAILY, WEEKDAYS, TODAY) and target 24h IST time (e.g. 09:00, 15:25, 18:30)</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3</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Mode</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320"/>
            <w:shd w:fill="FFFFFF"/>
            <w:tcMar>
              <w:top w:w="80" w:type="dxa"/>
              <w:bottom w:w="80" w:type="dxa"/>
              <w:left w:w="140" w:type="dxa"/>
              <w:right w:w="140" w:type="dxa"/>
            </w:tcMar>
          </w:tcPr>
          <w:p>
            <w:pPr>
              <w:spacing w:before="40" w:after="40" w:line="269" w:lineRule="auto"/>
            </w:pPr>
            <w:r>
              <w:rPr>
                <w:rFonts w:ascii="Calibri" w:hAnsi="Calibri"/>
                <w:color w:val="222222"/>
                <w:sz w:val="18"/>
              </w:rPr>
              <w:t>Scan type: EXECUTE (auto order entry), PREVIEW (paper signal report), or SENTIMENT (AI briefing)</w:t>
            </w:r>
          </w:p>
        </w:tc>
      </w:tr>
      <w:tr>
        <w:tc>
          <w:tcPr>
            <w:tcW w:type="dxa" w:w="1152"/>
            <w:shd w:fill="F7F9FB"/>
            <w:tcMar>
              <w:top w:w="80" w:type="dxa"/>
              <w:bottom w:w="80" w:type="dxa"/>
              <w:left w:w="140" w:type="dxa"/>
              <w:right w:w="140" w:type="dxa"/>
            </w:tcMar>
          </w:tcPr>
          <w:p>
            <w:pPr>
              <w:spacing w:before="40" w:after="40" w:line="269" w:lineRule="auto"/>
            </w:pPr>
            <w:r>
              <w:rPr>
                <w:rFonts w:ascii="Calibri" w:hAnsi="Calibri"/>
                <w:color w:val="222222"/>
                <w:sz w:val="18"/>
              </w:rPr>
              <w:t>4</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Status</w:t>
            </w:r>
          </w:p>
        </w:tc>
        <w:tc>
          <w:tcPr>
            <w:tcW w:type="dxa" w:w="2160"/>
            <w:shd w:fill="F7F9FB"/>
            <w:tcMar>
              <w:top w:w="80" w:type="dxa"/>
              <w:bottom w:w="80" w:type="dxa"/>
              <w:left w:w="140" w:type="dxa"/>
              <w:right w:w="140" w:type="dxa"/>
            </w:tcMar>
          </w:tcPr>
          <w:p>
            <w:pPr>
              <w:spacing w:before="40" w:after="40" w:line="269" w:lineRule="auto"/>
            </w:pPr>
            <w:r>
              <w:rPr>
                <w:rFonts w:ascii="Calibri" w:hAnsi="Calibri"/>
                <w:color w:val="222222"/>
                <w:sz w:val="18"/>
              </w:rPr>
              <w:t>String</w:t>
            </w:r>
          </w:p>
        </w:tc>
        <w:tc>
          <w:tcPr>
            <w:tcW w:type="dxa" w:w="4320"/>
            <w:shd w:fill="F7F9FB"/>
            <w:tcMar>
              <w:top w:w="80" w:type="dxa"/>
              <w:bottom w:w="80" w:type="dxa"/>
              <w:left w:w="140" w:type="dxa"/>
              <w:right w:w="140" w:type="dxa"/>
            </w:tcMar>
          </w:tcPr>
          <w:p>
            <w:pPr>
              <w:spacing w:before="40" w:after="40" w:line="269" w:lineRule="auto"/>
            </w:pPr>
            <w:r>
              <w:rPr>
                <w:rFonts w:ascii="Calibri" w:hAnsi="Calibri"/>
                <w:color w:val="222222"/>
                <w:sz w:val="18"/>
              </w:rPr>
              <w:t>Job status: ACTIVE (recurring), PENDING (one-off), RUNNING, COMPLETED, or PAUSED</w:t>
            </w:r>
          </w:p>
        </w:tc>
      </w:tr>
      <w:tr>
        <w:tc>
          <w:tcPr>
            <w:tcW w:type="dxa" w:w="1152"/>
            <w:shd w:fill="FFFFFF"/>
            <w:tcMar>
              <w:top w:w="80" w:type="dxa"/>
              <w:bottom w:w="80" w:type="dxa"/>
              <w:left w:w="140" w:type="dxa"/>
              <w:right w:w="140" w:type="dxa"/>
            </w:tcMar>
          </w:tcPr>
          <w:p>
            <w:pPr>
              <w:spacing w:before="40" w:after="40" w:line="269" w:lineRule="auto"/>
            </w:pPr>
            <w:r>
              <w:rPr>
                <w:rFonts w:ascii="Calibri" w:hAnsi="Calibri"/>
                <w:color w:val="222222"/>
                <w:sz w:val="18"/>
              </w:rPr>
              <w:t>5-6</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Last Run &amp; Notes</w:t>
            </w:r>
          </w:p>
        </w:tc>
        <w:tc>
          <w:tcPr>
            <w:tcW w:type="dxa" w:w="2160"/>
            <w:shd w:fill="FFFFFF"/>
            <w:tcMar>
              <w:top w:w="80" w:type="dxa"/>
              <w:bottom w:w="80" w:type="dxa"/>
              <w:left w:w="140" w:type="dxa"/>
              <w:right w:w="140" w:type="dxa"/>
            </w:tcMar>
          </w:tcPr>
          <w:p>
            <w:pPr>
              <w:spacing w:before="40" w:after="40" w:line="269" w:lineRule="auto"/>
            </w:pPr>
            <w:r>
              <w:rPr>
                <w:rFonts w:ascii="Calibri" w:hAnsi="Calibri"/>
                <w:color w:val="222222"/>
                <w:sz w:val="18"/>
              </w:rPr>
              <w:t>Timestamp &amp; Notes</w:t>
            </w:r>
          </w:p>
        </w:tc>
        <w:tc>
          <w:tcPr>
            <w:tcW w:type="dxa" w:w="4320"/>
            <w:shd w:fill="FFFFFF"/>
            <w:tcMar>
              <w:top w:w="80" w:type="dxa"/>
              <w:bottom w:w="80" w:type="dxa"/>
              <w:left w:w="140" w:type="dxa"/>
              <w:right w:w="140" w:type="dxa"/>
            </w:tcMar>
          </w:tcPr>
          <w:p>
            <w:pPr>
              <w:spacing w:before="40" w:after="40" w:line="269" w:lineRule="auto"/>
            </w:pPr>
            <w:r>
              <w:rPr>
                <w:rFonts w:ascii="Calibri" w:hAnsi="Calibri"/>
                <w:color w:val="222222"/>
                <w:sz w:val="18"/>
              </w:rPr>
              <w:t>Auto-logged execution timestamp (IST) and optional specific stock target or portfolio note</w:t>
            </w:r>
          </w:p>
        </w:tc>
      </w:tr>
    </w:tbl>
    <w:p>
      <w:pPr>
        <w:keepNext/>
        <w:spacing w:before="320" w:after="120"/>
      </w:pPr>
      <w:r>
        <w:rPr>
          <w:rFonts w:ascii="Calibri" w:hAnsi="Calibri"/>
          <w:b/>
          <w:color w:val="1B365D"/>
          <w:sz w:val="30"/>
        </w:rPr>
        <w:t>6. Interactive Telegram Bot &amp; Scheduling Engine</w:t>
      </w:r>
    </w:p>
    <w:p>
      <w:pPr>
        <w:spacing w:before="20" w:after="80" w:line="276" w:lineRule="auto"/>
      </w:pPr>
      <w:r>
        <w:rPr>
          <w:rFonts w:ascii="Calibri" w:hAnsi="Calibri"/>
          <w:i w:val="0"/>
          <w:color w:val="222222"/>
          <w:sz w:val="20"/>
        </w:rPr>
        <w:t>The Telegram Bot (@nse_swing_123_bot) serves as an interactive command center, providing real-time portfolio oversight, on-demand market screening, automated trade execution, and AI sentiment briefings.</w:t>
      </w:r>
    </w:p>
    <w:p>
      <w:pPr>
        <w:keepNext/>
        <w:spacing w:before="240" w:after="80"/>
      </w:pPr>
      <w:r>
        <w:rPr>
          <w:rFonts w:ascii="Calibri" w:hAnsi="Calibri"/>
          <w:b/>
          <w:color w:val="2E5B88"/>
          <w:sz w:val="24"/>
        </w:rPr>
        <w:t>Interactive 6-Button Quick Action Touch Menu</w:t>
      </w:r>
    </w:p>
    <w:p>
      <w:pPr>
        <w:spacing w:before="20" w:after="80" w:line="276" w:lineRule="auto"/>
      </w:pPr>
      <w:r>
        <w:rPr>
          <w:rFonts w:ascii="Calibri" w:hAnsi="Calibri"/>
          <w:i w:val="0"/>
          <w:color w:val="222222"/>
          <w:sz w:val="20"/>
        </w:rPr>
        <w:t>Clicking /menu renders a 6-button touch keypad for zero-friction mobile execution:</w:t>
      </w:r>
    </w:p>
    <w:tbl>
      <w:tblPr>
        <w:tblW w:type="auto" w:w="0"/>
        <w:jc w:val="center"/>
        <w:tblLayout w:type="fixed"/>
        <w:tblLook w:firstColumn="1" w:firstRow="1" w:lastColumn="0" w:lastRow="0" w:noHBand="0" w:noVBand="1" w:val="04A0"/>
      </w:tblPr>
      <w:tblGrid>
        <w:gridCol w:w="9936"/>
      </w:tblGrid>
      <w:tr>
        <w:tc>
          <w:tcPr>
            <w:tcW w:type="dxa" w:w="9792"/>
            <w:shd w:fill="EBF2F8"/>
            <w:tcMar>
              <w:top w:w="140" w:type="dxa"/>
              <w:bottom w:w="140" w:type="dxa"/>
              <w:left w:w="200" w:type="dxa"/>
              <w:right w:w="200" w:type="dxa"/>
            </w:tcMar>
            <w:tcBorders>
              <w:left w:val="single" w:sz="24" w:space="0" w:color="1B365D"/>
              <w:top w:val="none"/>
              <w:right w:val="none"/>
              <w:bottom w:val="none"/>
            </w:tcBorders>
          </w:tcPr>
          <w:p>
            <w:pPr>
              <w:spacing w:before="40" w:after="40" w:line="276" w:lineRule="auto"/>
            </w:pPr>
            <w:r>
              <w:rPr>
                <w:rFonts w:ascii="Calibri" w:hAnsi="Calibri"/>
                <w:b/>
                <w:i w:val="0"/>
                <w:color w:val="1B365D"/>
                <w:sz w:val="20"/>
              </w:rPr>
              <w:t>[🔍 Run Market Scan]               [🌐 Market Sentiment]</w:t>
              <w:br/>
            </w:r>
            <w:r>
              <w:rPr>
                <w:rFonts w:ascii="Calibri" w:hAnsi="Calibri"/>
                <w:b/>
                <w:i w:val="0"/>
                <w:color w:val="1B365D"/>
                <w:sz w:val="20"/>
              </w:rPr>
              <w:t>[📈 Open Positions]                [🏦 Portfolio Summary]</w:t>
              <w:br/>
            </w:r>
            <w:r>
              <w:rPr>
                <w:rFonts w:ascii="Calibri" w:hAnsi="Calibri"/>
                <w:b/>
                <w:i w:val="0"/>
                <w:color w:val="1B365D"/>
                <w:sz w:val="20"/>
              </w:rPr>
              <w:t>[📅 Scan Schedules]                [🤝 Trade History]</w:t>
            </w:r>
          </w:p>
        </w:tc>
      </w:tr>
    </w:tbl>
    <w:p>
      <w:pPr>
        <w:spacing w:after="120"/>
      </w:pPr>
    </w:p>
    <w:p>
      <w:pPr>
        <w:keepNext/>
        <w:spacing w:before="240" w:after="80"/>
      </w:pPr>
      <w:r>
        <w:rPr>
          <w:rFonts w:ascii="Calibri" w:hAnsi="Calibri"/>
          <w:b/>
          <w:color w:val="2E5B88"/>
          <w:sz w:val="24"/>
        </w:rPr>
        <w:t>Telegram Command Reference</w:t>
      </w:r>
    </w:p>
    <w:p>
      <w:pPr>
        <w:pStyle w:val="ListBullet"/>
        <w:spacing w:before="20" w:after="60" w:line="276" w:lineRule="auto"/>
      </w:pPr>
      <w:r>
        <w:rPr>
          <w:rFonts w:ascii="Calibri" w:hAnsi="Calibri"/>
          <w:b/>
          <w:color w:val="1B365D"/>
          <w:sz w:val="19"/>
        </w:rPr>
        <w:t>/menu :</w:t>
      </w:r>
      <w:r>
        <w:rPr>
          <w:rFonts w:ascii="Calibri" w:hAnsi="Calibri"/>
          <w:color w:val="222222"/>
          <w:sz w:val="19"/>
        </w:rPr>
        <w:t>Displays the interactive 6-button quick action touchpad.</w:t>
      </w:r>
    </w:p>
    <w:p>
      <w:pPr>
        <w:pStyle w:val="ListBullet"/>
        <w:spacing w:before="20" w:after="60" w:line="276" w:lineRule="auto"/>
      </w:pPr>
      <w:r>
        <w:rPr>
          <w:rFonts w:ascii="Calibri" w:hAnsi="Calibri"/>
          <w:b/>
          <w:color w:val="1B365D"/>
          <w:sz w:val="19"/>
        </w:rPr>
        <w:t>/scan :</w:t>
      </w:r>
      <w:r>
        <w:rPr>
          <w:rFonts w:ascii="Calibri" w:hAnsi="Calibri"/>
          <w:color w:val="222222"/>
          <w:sz w:val="19"/>
        </w:rPr>
        <w:t>Runs immediate breakout screener in Preview Mode. If market is open, provides interactive buttons to confirm and execute market orders. If market is closed or weekend, provides AMO (After-Market Order) execution buttons.</w:t>
      </w:r>
    </w:p>
    <w:p>
      <w:pPr>
        <w:pStyle w:val="ListBullet"/>
        <w:spacing w:before="20" w:after="60" w:line="276" w:lineRule="auto"/>
      </w:pPr>
      <w:r>
        <w:rPr>
          <w:rFonts w:ascii="Calibri" w:hAnsi="Calibri"/>
          <w:b/>
          <w:color w:val="1B365D"/>
          <w:sz w:val="19"/>
        </w:rPr>
        <w:t>/news [or /sentiment] :</w:t>
      </w:r>
      <w:r>
        <w:rPr>
          <w:rFonts w:ascii="Calibri" w:hAnsi="Calibri"/>
          <w:color w:val="222222"/>
          <w:sz w:val="19"/>
        </w:rPr>
        <w:t>Generates Gemini 3.6-flash Market Sentiment and Macro Guardrails report for active open holdings or benchmark Nifty 50. Accepts optional ticker argument (e.g. /news RELIANCE, /news TATAMOTORS).</w:t>
      </w:r>
    </w:p>
    <w:p>
      <w:pPr>
        <w:pStyle w:val="ListBullet"/>
        <w:spacing w:before="20" w:after="60" w:line="276" w:lineRule="auto"/>
      </w:pPr>
      <w:r>
        <w:rPr>
          <w:rFonts w:ascii="Calibri" w:hAnsi="Calibri"/>
          <w:b/>
          <w:color w:val="1B365D"/>
          <w:sz w:val="19"/>
        </w:rPr>
        <w:t>/positions :</w:t>
      </w:r>
      <w:r>
        <w:rPr>
          <w:rFonts w:ascii="Calibri" w:hAnsi="Calibri"/>
          <w:color w:val="222222"/>
          <w:sz w:val="19"/>
        </w:rPr>
        <w:t>Lists all open positions with real-time DhanHQ/Yahoo tick prices, official Company Names, Sector, SL, Target, and Unrealized PnL.</w:t>
      </w:r>
    </w:p>
    <w:p>
      <w:pPr>
        <w:pStyle w:val="ListBullet"/>
        <w:spacing w:before="20" w:after="60" w:line="276" w:lineRule="auto"/>
      </w:pPr>
      <w:r>
        <w:rPr>
          <w:rFonts w:ascii="Calibri" w:hAnsi="Calibri"/>
          <w:b/>
          <w:color w:val="1B365D"/>
          <w:sz w:val="19"/>
        </w:rPr>
        <w:t>/summary :</w:t>
      </w:r>
      <w:r>
        <w:rPr>
          <w:rFonts w:ascii="Calibri" w:hAnsi="Calibri"/>
          <w:color w:val="222222"/>
          <w:sz w:val="19"/>
        </w:rPr>
        <w:t>Displays comprehensive financial summary: Total Value, Cash Balance, Realized PnL, Win Rate %, Total Return %, CAGR %, and XIRR %.</w:t>
      </w:r>
    </w:p>
    <w:p>
      <w:pPr>
        <w:pStyle w:val="ListBullet"/>
        <w:spacing w:before="20" w:after="60" w:line="276" w:lineRule="auto"/>
      </w:pPr>
      <w:r>
        <w:rPr>
          <w:rFonts w:ascii="Calibri" w:hAnsi="Calibri"/>
          <w:b/>
          <w:color w:val="1B365D"/>
          <w:sz w:val="19"/>
        </w:rPr>
        <w:t>/history :</w:t>
      </w:r>
      <w:r>
        <w:rPr>
          <w:rFonts w:ascii="Calibri" w:hAnsi="Calibri"/>
          <w:color w:val="222222"/>
          <w:sz w:val="19"/>
        </w:rPr>
        <w:t>Lists all completed trades with full Company Names, Entry/Exit prices, Realized PnL (₹), and PnL %.</w:t>
      </w:r>
    </w:p>
    <w:p>
      <w:pPr>
        <w:pStyle w:val="ListBullet"/>
        <w:spacing w:before="20" w:after="60" w:line="276" w:lineRule="auto"/>
      </w:pPr>
      <w:r>
        <w:rPr>
          <w:rFonts w:ascii="Calibri" w:hAnsi="Calibri"/>
          <w:b/>
          <w:color w:val="1B365D"/>
          <w:sz w:val="19"/>
        </w:rPr>
        <w:t>/schedules :</w:t>
      </w:r>
      <w:r>
        <w:rPr>
          <w:rFonts w:ascii="Calibri" w:hAnsi="Calibri"/>
          <w:color w:val="222222"/>
          <w:sz w:val="19"/>
        </w:rPr>
        <w:t>Displays all Google Sheets automated dynamic scan and sentiment schedules with target times and live DUE status.</w:t>
      </w:r>
    </w:p>
    <w:p>
      <w:pPr>
        <w:pStyle w:val="ListBullet"/>
        <w:spacing w:before="20" w:after="60" w:line="276" w:lineRule="auto"/>
      </w:pPr>
      <w:r>
        <w:rPr>
          <w:rFonts w:ascii="Calibri" w:hAnsi="Calibri"/>
          <w:b/>
          <w:color w:val="1B365D"/>
          <w:sz w:val="19"/>
        </w:rPr>
        <w:t>/start :</w:t>
      </w:r>
      <w:r>
        <w:rPr>
          <w:rFonts w:ascii="Calibri" w:hAnsi="Calibri"/>
          <w:color w:val="222222"/>
          <w:sz w:val="19"/>
        </w:rPr>
        <w:t>Welcomes user and registers Chat ID into Google Sheets TelegramChats table.</w:t>
      </w:r>
    </w:p>
    <w:p>
      <w:pPr>
        <w:keepNext/>
        <w:spacing w:before="240" w:after="80"/>
      </w:pPr>
      <w:r>
        <w:rPr>
          <w:rFonts w:ascii="Calibri" w:hAnsi="Calibri"/>
          <w:b/>
          <w:color w:val="2E5B88"/>
          <w:sz w:val="24"/>
        </w:rPr>
        <w:t>Automated Background Scheduling Suite</w:t>
      </w:r>
    </w:p>
    <w:p>
      <w:pPr>
        <w:pStyle w:val="ListBullet"/>
        <w:spacing w:before="20" w:after="60" w:line="276" w:lineRule="auto"/>
      </w:pPr>
      <w:r>
        <w:rPr>
          <w:rFonts w:ascii="Calibri" w:hAnsi="Calibri"/>
          <w:b/>
          <w:color w:val="1B365D"/>
          <w:sz w:val="19"/>
        </w:rPr>
        <w:t>Dynamic Google Sheets Scheduler:</w:t>
      </w:r>
      <w:r>
        <w:rPr>
          <w:rFonts w:ascii="Calibri" w:hAnsi="Calibri"/>
          <w:color w:val="222222"/>
          <w:sz w:val="19"/>
        </w:rPr>
        <w:t>Polls the Google Sheets 'Schedules' tab every 60 seconds. Automatically triggers due scans, executions, or sentiment briefings based on current IST time.</w:t>
      </w:r>
    </w:p>
    <w:p>
      <w:pPr>
        <w:pStyle w:val="ListBullet"/>
        <w:spacing w:before="20" w:after="60" w:line="276" w:lineRule="auto"/>
      </w:pPr>
      <w:r>
        <w:rPr>
          <w:rFonts w:ascii="Calibri" w:hAnsi="Calibri"/>
          <w:b/>
          <w:color w:val="1B365D"/>
          <w:sz w:val="19"/>
        </w:rPr>
        <w:t>Scheduled Daily Scan (3:25 PM IST Mon–Fri):</w:t>
      </w:r>
      <w:r>
        <w:rPr>
          <w:rFonts w:ascii="Calibri" w:hAnsi="Calibri"/>
          <w:color w:val="222222"/>
          <w:sz w:val="19"/>
        </w:rPr>
        <w:t>Executes daily breakout screening and order placements into 'NSE_Swing_Trading_Portfolio_1'. Broadcasts full execution report to registered Telegram chats.</w:t>
      </w:r>
    </w:p>
    <w:p>
      <w:pPr>
        <w:pStyle w:val="ListBullet"/>
        <w:spacing w:before="20" w:after="60" w:line="276" w:lineRule="auto"/>
      </w:pPr>
      <w:r>
        <w:rPr>
          <w:rFonts w:ascii="Calibri" w:hAnsi="Calibri"/>
          <w:b/>
          <w:color w:val="1B365D"/>
          <w:sz w:val="19"/>
        </w:rPr>
        <w:t>Intraday Market Sync (Every 5 min):</w:t>
      </w:r>
      <w:r>
        <w:rPr>
          <w:rFonts w:ascii="Calibri" w:hAnsi="Calibri"/>
          <w:color w:val="222222"/>
          <w:sz w:val="19"/>
        </w:rPr>
        <w:t>Syncs live quotes every 5 minutes during market hours (9:15 AM – 3:30 PM IST), ratchets trailing stop losses upward to 20 EMA, evaluates target/stop exits, and sends instant alert notifications.</w:t>
      </w:r>
    </w:p>
    <w:p>
      <w:pPr>
        <w:pStyle w:val="ListBullet"/>
        <w:spacing w:before="20" w:after="60" w:line="276" w:lineRule="auto"/>
      </w:pPr>
      <w:r>
        <w:rPr>
          <w:rFonts w:ascii="Calibri" w:hAnsi="Calibri"/>
          <w:b/>
          <w:color w:val="1B365D"/>
          <w:sz w:val="19"/>
        </w:rPr>
        <w:t>Render Cloud Keep-Alive Heartbeat:</w:t>
      </w:r>
      <w:r>
        <w:rPr>
          <w:rFonts w:ascii="Calibri" w:hAnsi="Calibri"/>
          <w:color w:val="222222"/>
          <w:sz w:val="19"/>
        </w:rPr>
        <w:t>Automated background loop pings 'https://ai-swing-trade-1.onrender.com/_stcore/health' every 9 minutes to keep the Render web service warm and eliminate cold-start latencies.</w:t>
      </w:r>
    </w:p>
    <w:p>
      <w:pPr>
        <w:keepNext/>
        <w:spacing w:before="320" w:after="120"/>
      </w:pPr>
      <w:r>
        <w:rPr>
          <w:rFonts w:ascii="Calibri" w:hAnsi="Calibri"/>
          <w:b/>
          <w:color w:val="1B365D"/>
          <w:sz w:val="30"/>
        </w:rPr>
        <w:t>7. 3-Year Quantitative Backtest Performance Scorecard</w:t>
      </w:r>
    </w:p>
    <w:p>
      <w:pPr>
        <w:spacing w:before="20" w:after="80" w:line="276" w:lineRule="auto"/>
      </w:pPr>
      <w:r>
        <w:rPr>
          <w:rFonts w:ascii="Calibri" w:hAnsi="Calibri"/>
          <w:i w:val="0"/>
          <w:color w:val="222222"/>
          <w:sz w:val="20"/>
        </w:rPr>
        <w:t>A rigorous 3-year quantitative backtest was conducted across all 50 Nifty index constituents spanning August 23, 2023 to September 1, 2026 (745 active trading sessions). Execution modeled full survivorship-bias-free data, daily OHLCV bar processing, and exact strategy execution rules.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rPr>
          <w:tblHeader/>
        </w:trPr>
        <w:tc>
          <w:tcPr>
            <w:tcW w:type="dxa" w:w="2880"/>
            <w:shd w:fill="1B365D"/>
            <w:tcMar>
              <w:top w:w="120" w:type="dxa"/>
              <w:bottom w:w="120" w:type="dxa"/>
              <w:left w:w="140" w:type="dxa"/>
              <w:right w:w="140" w:type="dxa"/>
            </w:tcMar>
          </w:tcPr>
          <w:p>
            <w:pPr>
              <w:spacing w:before="40" w:after="40"/>
            </w:pPr>
            <w:r>
              <w:rPr>
                <w:rFonts w:ascii="Calibri" w:hAnsi="Calibri"/>
                <w:b/>
                <w:color w:val="FFFFFF"/>
                <w:sz w:val="19"/>
              </w:rPr>
              <w:t>Performance Metric</w:t>
            </w:r>
          </w:p>
        </w:tc>
        <w:tc>
          <w:tcPr>
            <w:tcW w:type="dxa" w:w="2304"/>
            <w:shd w:fill="1B365D"/>
            <w:tcMar>
              <w:top w:w="120" w:type="dxa"/>
              <w:bottom w:w="120" w:type="dxa"/>
              <w:left w:w="140" w:type="dxa"/>
              <w:right w:w="140" w:type="dxa"/>
            </w:tcMar>
          </w:tcPr>
          <w:p>
            <w:pPr>
              <w:spacing w:before="40" w:after="40"/>
            </w:pPr>
            <w:r>
              <w:rPr>
                <w:rFonts w:ascii="Calibri" w:hAnsi="Calibri"/>
                <w:b/>
                <w:color w:val="FFFFFF"/>
                <w:sz w:val="19"/>
              </w:rPr>
              <w:t>Quantitative Strategy</w:t>
            </w:r>
          </w:p>
        </w:tc>
        <w:tc>
          <w:tcPr>
            <w:tcW w:type="dxa" w:w="2304"/>
            <w:shd w:fill="1B365D"/>
            <w:tcMar>
              <w:top w:w="120" w:type="dxa"/>
              <w:bottom w:w="120" w:type="dxa"/>
              <w:left w:w="140" w:type="dxa"/>
              <w:right w:w="140" w:type="dxa"/>
            </w:tcMar>
          </w:tcPr>
          <w:p>
            <w:pPr>
              <w:spacing w:before="40" w:after="40"/>
            </w:pPr>
            <w:r>
              <w:rPr>
                <w:rFonts w:ascii="Calibri" w:hAnsi="Calibri"/>
                <w:b/>
                <w:color w:val="FFFFFF"/>
                <w:sz w:val="19"/>
              </w:rPr>
              <w:t>Nifty 50 Buy &amp; Hold</w:t>
            </w:r>
          </w:p>
        </w:tc>
        <w:tc>
          <w:tcPr>
            <w:tcW w:type="dxa" w:w="2304"/>
            <w:shd w:fill="1B365D"/>
            <w:tcMar>
              <w:top w:w="120" w:type="dxa"/>
              <w:bottom w:w="120" w:type="dxa"/>
              <w:left w:w="140" w:type="dxa"/>
              <w:right w:w="140" w:type="dxa"/>
            </w:tcMar>
          </w:tcPr>
          <w:p>
            <w:pPr>
              <w:spacing w:before="40" w:after="40"/>
            </w:pPr>
            <w:r>
              <w:rPr>
                <w:rFonts w:ascii="Calibri" w:hAnsi="Calibri"/>
                <w:b/>
                <w:color w:val="FFFFFF"/>
                <w:sz w:val="19"/>
              </w:rPr>
              <w:t>Alpha / Outperformance</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Starting Capital</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₹1,000,000.00</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₹1,000,000.00</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Identical Capital Baseline</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Ending Capital (3 Years)</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₹1,356,216.40</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₹1,237,183.75</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+₹119,032.65 Net Excess Profit</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Total Return (%)</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+35.62%</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+23.72%</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+11.90% Excess Cumulative Alpha 🚀</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Annualized Return (CAGR)</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10.60% p.a.</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7.29% p.a.</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+3.31% p.a. Annualized Alpha</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Maximum Drawdown</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-7.38%</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-15.77%</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Cut Market Drawdown Risk by &gt; 50% 🛡️</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Profit Factor</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1.53</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₹1.53 Gross Profit per ₹1.00 Loss</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Total Completed Trades</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167 trades</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Buy &amp; Hold</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~55 trades per year</w:t>
            </w:r>
          </w:p>
        </w:tc>
      </w:tr>
      <w:tr>
        <w:tc>
          <w:tcPr>
            <w:tcW w:type="dxa" w:w="2880"/>
            <w:shd w:fill="FFFFFF"/>
            <w:tcMar>
              <w:top w:w="80" w:type="dxa"/>
              <w:bottom w:w="80" w:type="dxa"/>
              <w:left w:w="140" w:type="dxa"/>
              <w:right w:w="140" w:type="dxa"/>
            </w:tcMar>
          </w:tcPr>
          <w:p>
            <w:pPr>
              <w:spacing w:before="40" w:after="40" w:line="269" w:lineRule="auto"/>
            </w:pPr>
            <w:r>
              <w:rPr>
                <w:rFonts w:ascii="Calibri" w:hAnsi="Calibri"/>
                <w:color w:val="222222"/>
                <w:sz w:val="18"/>
              </w:rPr>
              <w:t>Win-to-Loss Asymmetry Ratio</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2.59x</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w:t>
            </w:r>
          </w:p>
        </w:tc>
        <w:tc>
          <w:tcPr>
            <w:tcW w:type="dxa" w:w="2304"/>
            <w:shd w:fill="FFFFFF"/>
            <w:tcMar>
              <w:top w:w="80" w:type="dxa"/>
              <w:bottom w:w="80" w:type="dxa"/>
              <w:left w:w="140" w:type="dxa"/>
              <w:right w:w="140" w:type="dxa"/>
            </w:tcMar>
          </w:tcPr>
          <w:p>
            <w:pPr>
              <w:spacing w:before="40" w:after="40" w:line="269" w:lineRule="auto"/>
            </w:pPr>
            <w:r>
              <w:rPr>
                <w:rFonts w:ascii="Calibri" w:hAnsi="Calibri"/>
                <w:color w:val="222222"/>
                <w:sz w:val="18"/>
              </w:rPr>
              <w:t>Avg Win: +₹16,547 (+4.90%) vs Avg Loss: -₹6,378 (-2.09%)</w:t>
            </w:r>
          </w:p>
        </w:tc>
      </w:tr>
      <w:tr>
        <w:tc>
          <w:tcPr>
            <w:tcW w:type="dxa" w:w="2880"/>
            <w:shd w:fill="F7F9FB"/>
            <w:tcMar>
              <w:top w:w="80" w:type="dxa"/>
              <w:bottom w:w="80" w:type="dxa"/>
              <w:left w:w="140" w:type="dxa"/>
              <w:right w:w="140" w:type="dxa"/>
            </w:tcMar>
          </w:tcPr>
          <w:p>
            <w:pPr>
              <w:spacing w:before="40" w:after="40" w:line="269" w:lineRule="auto"/>
            </w:pPr>
            <w:r>
              <w:rPr>
                <w:rFonts w:ascii="Calibri" w:hAnsi="Calibri"/>
                <w:color w:val="222222"/>
                <w:sz w:val="18"/>
              </w:rPr>
              <w:t>Average Holding Duration</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9.3 Trading Days</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3.0 Years</w:t>
            </w:r>
          </w:p>
        </w:tc>
        <w:tc>
          <w:tcPr>
            <w:tcW w:type="dxa" w:w="2304"/>
            <w:shd w:fill="F7F9FB"/>
            <w:tcMar>
              <w:top w:w="80" w:type="dxa"/>
              <w:bottom w:w="80" w:type="dxa"/>
              <w:left w:w="140" w:type="dxa"/>
              <w:right w:w="140" w:type="dxa"/>
            </w:tcMar>
          </w:tcPr>
          <w:p>
            <w:pPr>
              <w:spacing w:before="40" w:after="40" w:line="269" w:lineRule="auto"/>
            </w:pPr>
            <w:r>
              <w:rPr>
                <w:rFonts w:ascii="Calibri" w:hAnsi="Calibri"/>
                <w:color w:val="222222"/>
                <w:sz w:val="18"/>
              </w:rPr>
              <w:t>True Systematic Swing Trading Horizon</w:t>
            </w:r>
          </w:p>
        </w:tc>
      </w:tr>
    </w:tbl>
    <w:p>
      <w:pPr>
        <w:keepNext/>
        <w:spacing w:before="320" w:after="120"/>
      </w:pPr>
      <w:r>
        <w:rPr>
          <w:rFonts w:ascii="Calibri" w:hAnsi="Calibri"/>
          <w:b/>
          <w:color w:val="1B365D"/>
          <w:sz w:val="30"/>
        </w:rPr>
        <w:t>8. Production Credentials &amp; Deployment Infrastructure</w:t>
      </w:r>
    </w:p>
    <w:p>
      <w:pPr>
        <w:spacing w:before="20" w:after="80" w:line="276" w:lineRule="auto"/>
      </w:pPr>
      <w:r>
        <w:rPr>
          <w:rFonts w:ascii="Calibri" w:hAnsi="Calibri"/>
          <w:i w:val="0"/>
          <w:color w:val="222222"/>
          <w:sz w:val="20"/>
        </w:rPr>
        <w:t>The production environment configuration and secret variables for System #1 are cataloged below:</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rPr>
          <w:tblHeader/>
        </w:trPr>
        <w:tc>
          <w:tcPr>
            <w:tcW w:type="dxa" w:w="2592"/>
            <w:shd w:fill="1B365D"/>
            <w:tcMar>
              <w:top w:w="120" w:type="dxa"/>
              <w:bottom w:w="120" w:type="dxa"/>
              <w:left w:w="140" w:type="dxa"/>
              <w:right w:w="140" w:type="dxa"/>
            </w:tcMar>
          </w:tcPr>
          <w:p>
            <w:pPr>
              <w:spacing w:before="40" w:after="40"/>
            </w:pPr>
            <w:r>
              <w:rPr>
                <w:rFonts w:ascii="Calibri" w:hAnsi="Calibri"/>
                <w:b/>
                <w:color w:val="FFFFFF"/>
                <w:sz w:val="19"/>
              </w:rPr>
              <w:t>Component / Service</w:t>
            </w:r>
          </w:p>
        </w:tc>
        <w:tc>
          <w:tcPr>
            <w:tcW w:type="dxa" w:w="3168"/>
            <w:shd w:fill="1B365D"/>
            <w:tcMar>
              <w:top w:w="120" w:type="dxa"/>
              <w:bottom w:w="120" w:type="dxa"/>
              <w:left w:w="140" w:type="dxa"/>
              <w:right w:w="140" w:type="dxa"/>
            </w:tcMar>
          </w:tcPr>
          <w:p>
            <w:pPr>
              <w:spacing w:before="40" w:after="40"/>
            </w:pPr>
            <w:r>
              <w:rPr>
                <w:rFonts w:ascii="Calibri" w:hAnsi="Calibri"/>
                <w:b/>
                <w:color w:val="FFFFFF"/>
                <w:sz w:val="19"/>
              </w:rPr>
              <w:t>Environment Variable / Key</w:t>
            </w:r>
          </w:p>
        </w:tc>
        <w:tc>
          <w:tcPr>
            <w:tcW w:type="dxa" w:w="4032"/>
            <w:shd w:fill="1B365D"/>
            <w:tcMar>
              <w:top w:w="120" w:type="dxa"/>
              <w:bottom w:w="120" w:type="dxa"/>
              <w:left w:w="140" w:type="dxa"/>
              <w:right w:w="140" w:type="dxa"/>
            </w:tcMar>
          </w:tcPr>
          <w:p>
            <w:pPr>
              <w:spacing w:before="40" w:after="40"/>
            </w:pPr>
            <w:r>
              <w:rPr>
                <w:rFonts w:ascii="Calibri" w:hAnsi="Calibri"/>
                <w:b/>
                <w:color w:val="FFFFFF"/>
                <w:sz w:val="19"/>
              </w:rPr>
              <w:t>Configured Value / Description</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Dhan Broker API</w:t>
            </w:r>
          </w:p>
        </w:tc>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DHAN_CLIENT_ID</w:t>
            </w:r>
          </w:p>
        </w:tc>
        <w:tc>
          <w:tcPr>
            <w:tcW w:type="dxa" w:w="4032"/>
            <w:shd w:fill="F7F9FB"/>
            <w:tcMar>
              <w:top w:w="80" w:type="dxa"/>
              <w:bottom w:w="80" w:type="dxa"/>
              <w:left w:w="140" w:type="dxa"/>
              <w:right w:w="140" w:type="dxa"/>
            </w:tcMar>
          </w:tcPr>
          <w:p>
            <w:pPr>
              <w:spacing w:before="40" w:after="40" w:line="269" w:lineRule="auto"/>
            </w:pPr>
            <w:r>
              <w:rPr>
                <w:rFonts w:ascii="Calibri" w:hAnsi="Calibri"/>
                <w:color w:val="222222"/>
                <w:sz w:val="18"/>
              </w:rPr>
              <w:t>10-digit Dhan Client ID</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Dhan Broker API</w:t>
            </w:r>
          </w:p>
        </w:tc>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DHAN_ACCESS_TOKEN</w:t>
            </w:r>
          </w:p>
        </w:tc>
        <w:tc>
          <w:tcPr>
            <w:tcW w:type="dxa" w:w="4032"/>
            <w:shd w:fill="FFFFFF"/>
            <w:tcMar>
              <w:top w:w="80" w:type="dxa"/>
              <w:bottom w:w="80" w:type="dxa"/>
              <w:left w:w="140" w:type="dxa"/>
              <w:right w:w="140" w:type="dxa"/>
            </w:tcMar>
          </w:tcPr>
          <w:p>
            <w:pPr>
              <w:spacing w:before="40" w:after="40" w:line="269" w:lineRule="auto"/>
            </w:pPr>
            <w:r>
              <w:rPr>
                <w:rFonts w:ascii="Calibri" w:hAnsi="Calibri"/>
                <w:color w:val="222222"/>
                <w:sz w:val="18"/>
              </w:rPr>
              <w:t>DhanHQ API Token (Auto-generated from Dhan Web Console)</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Telegram Bot</w:t>
            </w:r>
          </w:p>
        </w:tc>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TELEGRAM_BOT_TOKEN</w:t>
            </w:r>
          </w:p>
        </w:tc>
        <w:tc>
          <w:tcPr>
            <w:tcW w:type="dxa" w:w="4032"/>
            <w:shd w:fill="F7F9FB"/>
            <w:tcMar>
              <w:top w:w="80" w:type="dxa"/>
              <w:bottom w:w="80" w:type="dxa"/>
              <w:left w:w="140" w:type="dxa"/>
              <w:right w:w="140" w:type="dxa"/>
            </w:tcMar>
          </w:tcPr>
          <w:p>
            <w:pPr>
              <w:spacing w:before="40" w:after="40" w:line="269" w:lineRule="auto"/>
            </w:pPr>
            <w:r>
              <w:rPr>
                <w:rFonts w:ascii="Calibri" w:hAnsi="Calibri"/>
                <w:color w:val="222222"/>
                <w:sz w:val="18"/>
              </w:rPr>
              <w:t>8723012283:AAFuddRfXL3-VNbeCdRRwKwoZ3438FaV0uo</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Telegram Bot</w:t>
            </w:r>
          </w:p>
        </w:tc>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Bot Username</w:t>
            </w:r>
          </w:p>
        </w:tc>
        <w:tc>
          <w:tcPr>
            <w:tcW w:type="dxa" w:w="4032"/>
            <w:shd w:fill="FFFFFF"/>
            <w:tcMar>
              <w:top w:w="80" w:type="dxa"/>
              <w:bottom w:w="80" w:type="dxa"/>
              <w:left w:w="140" w:type="dxa"/>
              <w:right w:w="140" w:type="dxa"/>
            </w:tcMar>
          </w:tcPr>
          <w:p>
            <w:pPr>
              <w:spacing w:before="40" w:after="40" w:line="269" w:lineRule="auto"/>
            </w:pPr>
            <w:r>
              <w:rPr>
                <w:rFonts w:ascii="Calibri" w:hAnsi="Calibri"/>
                <w:color w:val="222222"/>
                <w:sz w:val="18"/>
              </w:rPr>
              <w:t>@nse_swing_123_bot</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Render Cloud</w:t>
            </w:r>
          </w:p>
        </w:tc>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Public Service URL</w:t>
            </w:r>
          </w:p>
        </w:tc>
        <w:tc>
          <w:tcPr>
            <w:tcW w:type="dxa" w:w="4032"/>
            <w:shd w:fill="F7F9FB"/>
            <w:tcMar>
              <w:top w:w="80" w:type="dxa"/>
              <w:bottom w:w="80" w:type="dxa"/>
              <w:left w:w="140" w:type="dxa"/>
              <w:right w:w="140" w:type="dxa"/>
            </w:tcMar>
          </w:tcPr>
          <w:p>
            <w:pPr>
              <w:spacing w:before="40" w:after="40" w:line="269" w:lineRule="auto"/>
            </w:pPr>
            <w:r>
              <w:rPr>
                <w:rFonts w:ascii="Calibri" w:hAnsi="Calibri"/>
                <w:color w:val="222222"/>
                <w:sz w:val="18"/>
              </w:rPr>
              <w:t>https://ai-swing-trade-1.onrender.com</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Google Sheets</w:t>
            </w:r>
          </w:p>
        </w:tc>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Database Sheet Name</w:t>
            </w:r>
          </w:p>
        </w:tc>
        <w:tc>
          <w:tcPr>
            <w:tcW w:type="dxa" w:w="4032"/>
            <w:shd w:fill="FFFFFF"/>
            <w:tcMar>
              <w:top w:w="80" w:type="dxa"/>
              <w:bottom w:w="80" w:type="dxa"/>
              <w:left w:w="140" w:type="dxa"/>
              <w:right w:w="140" w:type="dxa"/>
            </w:tcMar>
          </w:tcPr>
          <w:p>
            <w:pPr>
              <w:spacing w:before="40" w:after="40" w:line="269" w:lineRule="auto"/>
            </w:pPr>
            <w:r>
              <w:rPr>
                <w:rFonts w:ascii="Calibri" w:hAnsi="Calibri"/>
                <w:color w:val="222222"/>
                <w:sz w:val="18"/>
              </w:rPr>
              <w:t>NSE_Swing_Trading_Portfolio_1</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Google Sheets</w:t>
            </w:r>
          </w:p>
        </w:tc>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Service Account Email</w:t>
            </w:r>
          </w:p>
        </w:tc>
        <w:tc>
          <w:tcPr>
            <w:tcW w:type="dxa" w:w="4032"/>
            <w:shd w:fill="F7F9FB"/>
            <w:tcMar>
              <w:top w:w="80" w:type="dxa"/>
              <w:bottom w:w="80" w:type="dxa"/>
              <w:left w:w="140" w:type="dxa"/>
              <w:right w:w="140" w:type="dxa"/>
            </w:tcMar>
          </w:tcPr>
          <w:p>
            <w:pPr>
              <w:spacing w:before="40" w:after="40" w:line="269" w:lineRule="auto"/>
            </w:pPr>
            <w:r>
              <w:rPr>
                <w:rFonts w:ascii="Calibri" w:hAnsi="Calibri"/>
                <w:color w:val="222222"/>
                <w:sz w:val="18"/>
              </w:rPr>
              <w:t>sheets-editor@swing-trade-system-506815.iam.gserviceaccount.com</w:t>
            </w:r>
          </w:p>
        </w:tc>
      </w:tr>
      <w:tr>
        <w:tc>
          <w:tcPr>
            <w:tcW w:type="dxa" w:w="2592"/>
            <w:shd w:fill="FFFFFF"/>
            <w:tcMar>
              <w:top w:w="80" w:type="dxa"/>
              <w:bottom w:w="80" w:type="dxa"/>
              <w:left w:w="140" w:type="dxa"/>
              <w:right w:w="140" w:type="dxa"/>
            </w:tcMar>
          </w:tcPr>
          <w:p>
            <w:pPr>
              <w:spacing w:before="40" w:after="40" w:line="269" w:lineRule="auto"/>
            </w:pPr>
            <w:r>
              <w:rPr>
                <w:rFonts w:ascii="Calibri" w:hAnsi="Calibri"/>
                <w:color w:val="222222"/>
                <w:sz w:val="18"/>
              </w:rPr>
              <w:t>Gemini AI</w:t>
            </w:r>
          </w:p>
        </w:tc>
        <w:tc>
          <w:tcPr>
            <w:tcW w:type="dxa" w:w="3168"/>
            <w:shd w:fill="FFFFFF"/>
            <w:tcMar>
              <w:top w:w="80" w:type="dxa"/>
              <w:bottom w:w="80" w:type="dxa"/>
              <w:left w:w="140" w:type="dxa"/>
              <w:right w:w="140" w:type="dxa"/>
            </w:tcMar>
          </w:tcPr>
          <w:p>
            <w:pPr>
              <w:spacing w:before="40" w:after="40" w:line="269" w:lineRule="auto"/>
            </w:pPr>
            <w:r>
              <w:rPr>
                <w:rFonts w:ascii="Calibri" w:hAnsi="Calibri"/>
                <w:color w:val="222222"/>
                <w:sz w:val="18"/>
              </w:rPr>
              <w:t>GEMINI_API_KEY</w:t>
            </w:r>
          </w:p>
        </w:tc>
        <w:tc>
          <w:tcPr>
            <w:tcW w:type="dxa" w:w="4032"/>
            <w:shd w:fill="FFFFFF"/>
            <w:tcMar>
              <w:top w:w="80" w:type="dxa"/>
              <w:bottom w:w="80" w:type="dxa"/>
              <w:left w:w="140" w:type="dxa"/>
              <w:right w:w="140" w:type="dxa"/>
            </w:tcMar>
          </w:tcPr>
          <w:p>
            <w:pPr>
              <w:spacing w:before="40" w:after="40" w:line="269" w:lineRule="auto"/>
            </w:pPr>
            <w:r>
              <w:rPr>
                <w:rFonts w:ascii="Calibri" w:hAnsi="Calibri"/>
                <w:color w:val="222222"/>
                <w:sz w:val="18"/>
              </w:rPr>
              <w:t>[Active Gemini API Key in Render Environment]</w:t>
            </w:r>
          </w:p>
        </w:tc>
      </w:tr>
      <w:tr>
        <w:tc>
          <w:tcPr>
            <w:tcW w:type="dxa" w:w="2592"/>
            <w:shd w:fill="F7F9FB"/>
            <w:tcMar>
              <w:top w:w="80" w:type="dxa"/>
              <w:bottom w:w="80" w:type="dxa"/>
              <w:left w:w="140" w:type="dxa"/>
              <w:right w:w="140" w:type="dxa"/>
            </w:tcMar>
          </w:tcPr>
          <w:p>
            <w:pPr>
              <w:spacing w:before="40" w:after="40" w:line="269" w:lineRule="auto"/>
            </w:pPr>
            <w:r>
              <w:rPr>
                <w:rFonts w:ascii="Calibri" w:hAnsi="Calibri"/>
                <w:color w:val="222222"/>
                <w:sz w:val="18"/>
              </w:rPr>
              <w:t>GitHub Repository</w:t>
            </w:r>
          </w:p>
        </w:tc>
        <w:tc>
          <w:tcPr>
            <w:tcW w:type="dxa" w:w="3168"/>
            <w:shd w:fill="F7F9FB"/>
            <w:tcMar>
              <w:top w:w="80" w:type="dxa"/>
              <w:bottom w:w="80" w:type="dxa"/>
              <w:left w:w="140" w:type="dxa"/>
              <w:right w:w="140" w:type="dxa"/>
            </w:tcMar>
          </w:tcPr>
          <w:p>
            <w:pPr>
              <w:spacing w:before="40" w:after="40" w:line="269" w:lineRule="auto"/>
            </w:pPr>
            <w:r>
              <w:rPr>
                <w:rFonts w:ascii="Calibri" w:hAnsi="Calibri"/>
                <w:color w:val="222222"/>
                <w:sz w:val="18"/>
              </w:rPr>
              <w:t>Git Branch: main</w:t>
            </w:r>
          </w:p>
        </w:tc>
        <w:tc>
          <w:tcPr>
            <w:tcW w:type="dxa" w:w="4032"/>
            <w:shd w:fill="F7F9FB"/>
            <w:tcMar>
              <w:top w:w="80" w:type="dxa"/>
              <w:bottom w:w="80" w:type="dxa"/>
              <w:left w:w="140" w:type="dxa"/>
              <w:right w:w="140" w:type="dxa"/>
            </w:tcMar>
          </w:tcPr>
          <w:p>
            <w:pPr>
              <w:spacing w:before="40" w:after="40" w:line="269" w:lineRule="auto"/>
            </w:pPr>
            <w:r>
              <w:rPr>
                <w:rFonts w:ascii="Calibri" w:hAnsi="Calibri"/>
                <w:color w:val="222222"/>
                <w:sz w:val="18"/>
              </w:rPr>
              <w:t>https://github.com/ckbas/Swing-Trading.git</w:t>
            </w:r>
          </w:p>
        </w:tc>
      </w:tr>
    </w:tbl>
    <w:p>
      <w:pPr>
        <w:keepNext/>
        <w:spacing w:before="240" w:after="80"/>
      </w:pPr>
      <w:r>
        <w:rPr>
          <w:rFonts w:ascii="Calibri" w:hAnsi="Calibri"/>
          <w:b/>
          <w:color w:val="2E5B88"/>
          <w:sz w:val="24"/>
        </w:rPr>
        <w:t>Render Deployment Commands</w:t>
      </w:r>
    </w:p>
    <w:p>
      <w:pPr>
        <w:pStyle w:val="ListBullet"/>
        <w:spacing w:before="20" w:after="60" w:line="276" w:lineRule="auto"/>
      </w:pPr>
      <w:r>
        <w:rPr>
          <w:rFonts w:ascii="Calibri" w:hAnsi="Calibri"/>
          <w:b/>
          <w:color w:val="1B365D"/>
          <w:sz w:val="19"/>
        </w:rPr>
        <w:t>Build Command:</w:t>
      </w:r>
      <w:r>
        <w:rPr>
          <w:rFonts w:ascii="Calibri" w:hAnsi="Calibri"/>
          <w:color w:val="222222"/>
          <w:sz w:val="19"/>
        </w:rPr>
        <w:t>pip install -r requirements.txt</w:t>
      </w:r>
    </w:p>
    <w:p>
      <w:pPr>
        <w:pStyle w:val="ListBullet"/>
        <w:spacing w:before="20" w:after="60" w:line="276" w:lineRule="auto"/>
      </w:pPr>
      <w:r>
        <w:rPr>
          <w:rFonts w:ascii="Calibri" w:hAnsi="Calibri"/>
          <w:b/>
          <w:color w:val="1B365D"/>
          <w:sz w:val="19"/>
        </w:rPr>
        <w:t>Start Command:</w:t>
      </w:r>
      <w:r>
        <w:rPr>
          <w:rFonts w:ascii="Calibri" w:hAnsi="Calibri"/>
          <w:color w:val="222222"/>
          <w:sz w:val="19"/>
        </w:rPr>
        <w:t>sh start.sh (executes background bot.py and foreground streamlit run app.py)</w:t>
      </w:r>
    </w:p>
    <w:p>
      <w:pPr>
        <w:pStyle w:val="ListBullet"/>
        <w:spacing w:before="20" w:after="60" w:line="276" w:lineRule="auto"/>
      </w:pPr>
      <w:r>
        <w:rPr>
          <w:rFonts w:ascii="Calibri" w:hAnsi="Calibri"/>
          <w:b/>
          <w:color w:val="1B365D"/>
          <w:sz w:val="19"/>
        </w:rPr>
        <w:t>Procfile Definition:</w:t>
      </w:r>
      <w:r>
        <w:rPr>
          <w:rFonts w:ascii="Calibri" w:hAnsi="Calibri"/>
          <w:color w:val="222222"/>
          <w:sz w:val="19"/>
        </w:rPr>
        <w:t>web: sh start.sh</w:t>
      </w:r>
    </w:p>
    <w:p>
      <w:pPr>
        <w:keepNext/>
        <w:spacing w:before="320" w:after="120"/>
      </w:pPr>
      <w:r>
        <w:rPr>
          <w:rFonts w:ascii="Calibri" w:hAnsi="Calibri"/>
          <w:b/>
          <w:color w:val="1B365D"/>
          <w:sz w:val="30"/>
        </w:rPr>
        <w:t>9. Universal Master Prompt</w:t>
      </w:r>
    </w:p>
    <w:p>
      <w:pPr>
        <w:spacing w:before="20" w:after="80" w:line="276" w:lineRule="auto"/>
      </w:pPr>
      <w:r>
        <w:rPr>
          <w:rFonts w:ascii="Calibri" w:hAnsi="Calibri"/>
          <w:i w:val="0"/>
          <w:color w:val="222222"/>
          <w:sz w:val="20"/>
        </w:rPr>
        <w:t>This Master Prompt contains the end-to-end instructions for recreating this system from scratch in any environment:</w:t>
      </w:r>
    </w:p>
    <w:p>
      <w:pPr>
        <w:spacing w:before="80" w:after="80" w:line="264" w:lineRule="auto"/>
      </w:pPr>
      <w:r>
        <w:rPr>
          <w:rFonts w:ascii="Consolas" w:hAnsi="Consolas"/>
          <w:color w:val="333333"/>
          <w:sz w:val="17"/>
        </w:rPr>
        <w:t>Build a complete, production-grade NSE Swing Trading &amp; Portfolio Manager in Python for System #1, ready to deploy to Render (Free Tier). The system must run a Streamlit web dashboard and a Telegram bot concurrently inside a single container. The database must be Google Sheets (managed via gspread).</w:t>
        <w:br/>
        <w:br/>
        <w:t>1. FILE STRUCTURE &amp; RESPONSIBILITIES:</w:t>
        <w:br/>
        <w:t>- dhan_client.py: Integrates DhanHQ API ('dhanhq'). Downloads and caches the Dhan NSE Scrip Master CSV in memory to map symbols (e.g. 'RELIANCE' -&gt; 2885). Provides get_dhan_ltp(tickers) for zero-latency live quotes with graceful fallback to yfinance if unconfigured.</w:t>
        <w:br/>
        <w:t>- sentiment_analyzer.py: Dual-tier Market Sentiment Analyzer scraping Google News RSS (35+ Indian financial headlines &amp; global macro cues) and synthesizing color-coded directives (ALLOW / SELECTIVE / HALT) via Gemini 3.6-flash.</w:t>
        <w:br/>
        <w:t>- screener.py: Fetches Nifty 50 symbols from NSE, downloads 60d daily historical data in parallel via yfinance, and filters for breakouts with official Company Names and sector metadata. Penny stock and liquidity filters enforced.</w:t>
        <w:br/>
        <w:t>- portfolio_manager.py: Google Sheets database operations for 'NSE_Swing_Trading_Portfolio_1'. Handles sheets initialization, fetching open/closed positions, registering chat IDs, adding/closing positions, calculating performance metrics (Total Return, CAGR, XIRR, PnL %), and syncing live quotes from DhanHQ with retry_gspread for 429 rate limit backoff.</w:t>
        <w:br/>
        <w:t>- trading_graph.py: Builds a stateful LangGraph workflow representing the trading cycle (Sync Portfolio -&gt; Scan Market -&gt; Position Sizer -&gt; Execute Trades) and formats a text-based scan report with IST timestamps, Company Names, and Sector classifications.</w:t>
        <w:br/>
        <w:t>- bot.py: Telegram Bot handler and dynamic scheduler. Implements interactive InlineKeyboardMarkup 6-button menus, native BotCommand menu registration, IST Date/Time timestamps, Company Names, and commands (/menu, /scan, /news, /positions, /history, /summary, /schedules, /start).</w:t>
        <w:br/>
        <w:t>- app.py: Streamlit frontend dashboard displaying KPI cards for Value, Cash, Unrealized/Realized PnL, Total Return, CAGR, XIRR, Closed Trades table with PnL % and win rate metrics, sector concentration charts, and Plotly charts.</w:t>
        <w:br/>
        <w:t>- start.sh: Shell script launching 'python -u bot.py &amp;' in the background and 'streamlit run app.py --server.port $PORT --server.address 0.0.0.0 --server.fileWatcherType none --server.headless true' in the foreground.</w:t>
        <w:br/>
        <w:t>- Procfile: Contains 'web: sh start.sh'</w:t>
        <w:br/>
        <w:t>- requirements.txt: Dependencies (streamlit, python-telegram-bot[all], gspread, google-auth, yfinance, pandas, numpy, langgraph, pytz, plotly, requests, google-generativeai, dhanhq).</w:t>
        <w:br/>
        <w:br/>
        <w:t>2. STRATEGY SPECIFICATIONS:</w:t>
        <w:br/>
        <w:t>- Universe: Nifty 50 constituents (.NS suffix).</w:t>
        <w:br/>
        <w:t>- Entry Conditions: Today's Close &gt; 20 SMA, Yesterday's Close &lt;= 20 SMA, Volume &gt; 2.0x 20-day Volume SMA, 14-period RSI between 50 and 70.</w:t>
        <w:br/>
        <w:t>- Stop Loss: 20 SMA at entry (clamped between 3% and 15% distance).</w:t>
        <w:br/>
        <w:t>- Risk Sizing: 1.0% risk per trade: floor((Total Portfolio Value * 0.01) / (Entry - Initial SL)).</w:t>
        <w:br/>
        <w:t>- Sector Limit: None.</w:t>
        <w:br/>
        <w:t>- Target: 1:2 Risk-to-Reward ratio (Entry + 2 * (Entry - Initial SL)).</w:t>
        <w:br/>
        <w:t>- Trailing Stop: 20 EMA ratcheted upward; never moves downward.</w:t>
        <w:br/>
        <w:t>- Market Sentiment Guardrails: Macro ALLOW/SELECTIVE/HALT and Micro stock sentiment tightening SL to Today's Low.</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6"/>
      </w:rPr>
      <w:t>NSE Automated Swing Trading System | System #1 | Confidential Master 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