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pPr w:leftFromText="180" w:rightFromText="180" w:horzAnchor="margin" w:tblpY="675"/>
        <w:tblW w:w="4908" w:type="pct"/>
        <w:tblLook w:val="04A0" w:firstRow="1" w:lastRow="0" w:firstColumn="1" w:lastColumn="0" w:noHBand="0" w:noVBand="1"/>
      </w:tblPr>
      <w:tblGrid>
        <w:gridCol w:w="2406"/>
        <w:gridCol w:w="1558"/>
        <w:gridCol w:w="4880"/>
      </w:tblGrid>
      <w:tr w:rsidR="00051048" w:rsidRPr="00BC1AFE" w14:paraId="6F32D2FC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54DCF3F0" w14:textId="77777777" w:rsidR="00051048" w:rsidRPr="00B36087" w:rsidRDefault="00051048" w:rsidP="00DC1272">
            <w:pPr>
              <w:rPr>
                <w:rFonts w:ascii="Arial" w:hAnsi="Arial" w:cs="Arial"/>
                <w:b w:val="0"/>
                <w:bCs w:val="0"/>
                <w:i/>
                <w:sz w:val="24"/>
                <w:szCs w:val="24"/>
              </w:rPr>
            </w:pPr>
            <w:r w:rsidRPr="00CE11AE">
              <w:rPr>
                <w:rFonts w:ascii="Arial" w:hAnsi="Arial" w:cs="Arial"/>
                <w:i/>
                <w:sz w:val="24"/>
                <w:szCs w:val="24"/>
              </w:rPr>
              <w:t>Brain region &amp; neuronal type</w:t>
            </w:r>
          </w:p>
        </w:tc>
        <w:tc>
          <w:tcPr>
            <w:tcW w:w="881" w:type="pct"/>
          </w:tcPr>
          <w:p w14:paraId="3B8728BC" w14:textId="77777777" w:rsidR="00051048" w:rsidRPr="00CE11AE" w:rsidRDefault="00051048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CE11AE">
              <w:rPr>
                <w:rFonts w:ascii="Arial" w:hAnsi="Arial" w:cs="Arial"/>
                <w:i/>
                <w:sz w:val="24"/>
                <w:szCs w:val="24"/>
              </w:rPr>
              <w:t>Firing rate</w:t>
            </w:r>
          </w:p>
        </w:tc>
        <w:tc>
          <w:tcPr>
            <w:tcW w:w="2759" w:type="pct"/>
          </w:tcPr>
          <w:p w14:paraId="4B329960" w14:textId="77777777" w:rsidR="00051048" w:rsidRPr="00CE11AE" w:rsidRDefault="00051048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CE11AE">
              <w:rPr>
                <w:rFonts w:ascii="Arial" w:hAnsi="Arial" w:cs="Arial"/>
                <w:i/>
                <w:sz w:val="24"/>
                <w:szCs w:val="24"/>
              </w:rPr>
              <w:t>Reference</w:t>
            </w:r>
          </w:p>
        </w:tc>
      </w:tr>
      <w:tr w:rsidR="00051048" w14:paraId="7486DD4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0BD508F5" w14:textId="77777777" w:rsidR="00051048" w:rsidRPr="00CE11AE" w:rsidRDefault="00051048" w:rsidP="00DC1272">
            <w:pPr>
              <w:rPr>
                <w:rFonts w:ascii="Arial" w:hAnsi="Arial" w:cs="Arial"/>
              </w:rPr>
            </w:pPr>
            <w:r w:rsidRPr="00CE11AE">
              <w:rPr>
                <w:rFonts w:ascii="Arial" w:hAnsi="Arial" w:cs="Arial"/>
              </w:rPr>
              <w:t>VTA DA neurons</w:t>
            </w:r>
          </w:p>
        </w:tc>
        <w:tc>
          <w:tcPr>
            <w:tcW w:w="881" w:type="pct"/>
          </w:tcPr>
          <w:p w14:paraId="06C558C7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~ 4 - 6 Hz</w:t>
            </w:r>
          </w:p>
        </w:tc>
        <w:tc>
          <w:tcPr>
            <w:tcW w:w="2759" w:type="pct"/>
          </w:tcPr>
          <w:p w14:paraId="5BEB7F7E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13C11">
              <w:rPr>
                <w:rFonts w:ascii="Arial" w:hAnsi="Arial" w:cs="Arial"/>
                <w:color w:val="000000" w:themeColor="text1"/>
              </w:rPr>
              <w:t>*</w:t>
            </w:r>
            <w:r w:rsidRPr="00113C11">
              <w:rPr>
                <w:rFonts w:ascii="Arial" w:hAnsi="Arial" w:cs="Arial"/>
              </w:rPr>
              <w:t>Cheer et al.</w:t>
            </w:r>
            <w:r>
              <w:rPr>
                <w:rFonts w:ascii="Arial" w:hAnsi="Arial" w:cs="Arial"/>
              </w:rPr>
              <w:t xml:space="preserve"> (</w:t>
            </w:r>
            <w:r w:rsidRPr="00113C11">
              <w:rPr>
                <w:rFonts w:ascii="Arial" w:hAnsi="Arial" w:cs="Arial"/>
              </w:rPr>
              <w:t>2003</w:t>
            </w:r>
            <w:r>
              <w:rPr>
                <w:rFonts w:ascii="Arial" w:hAnsi="Arial" w:cs="Arial"/>
              </w:rPr>
              <w:t xml:space="preserve">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>
              <w:rPr>
                <w:rFonts w:ascii="Arial" w:hAnsi="Arial" w:cs="Arial"/>
              </w:rPr>
              <w:t>Ungless</w:t>
            </w:r>
            <w:proofErr w:type="spellEnd"/>
            <w:r>
              <w:rPr>
                <w:rFonts w:ascii="Arial" w:hAnsi="Arial" w:cs="Arial"/>
              </w:rPr>
              <w:t xml:space="preserve"> et al. (2004); </w:t>
            </w:r>
            <w:r w:rsidRPr="00113C11">
              <w:rPr>
                <w:rFonts w:ascii="Arial" w:hAnsi="Arial" w:cs="Arial"/>
                <w:color w:val="000000" w:themeColor="text1"/>
              </w:rPr>
              <w:t>*</w:t>
            </w:r>
            <w:r>
              <w:rPr>
                <w:rFonts w:ascii="Arial" w:hAnsi="Arial" w:cs="Arial"/>
              </w:rPr>
              <w:t xml:space="preserve">Li et al. (2012);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Tolu et al. (2013);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</w:rPr>
              <w:t>Tian et al. (2016);</w:t>
            </w:r>
            <w:r w:rsidRPr="00B25CD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 w:rsidRPr="00B25CDF">
              <w:rPr>
                <w:rFonts w:ascii="Arial" w:hAnsi="Arial" w:cs="Arial"/>
              </w:rPr>
              <w:t>Stauffer</w:t>
            </w:r>
            <w:r>
              <w:rPr>
                <w:rFonts w:ascii="Arial" w:hAnsi="Arial" w:cs="Arial"/>
              </w:rPr>
              <w:t xml:space="preserve"> et al. (2016)</w:t>
            </w:r>
          </w:p>
        </w:tc>
      </w:tr>
      <w:tr w:rsidR="00051048" w14:paraId="4C7F0DED" w14:textId="77777777" w:rsidTr="00DC1272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74E34108" w14:textId="77777777" w:rsidR="00051048" w:rsidRPr="00CE11AE" w:rsidRDefault="00051048" w:rsidP="00DC1272">
            <w:pPr>
              <w:rPr>
                <w:rFonts w:ascii="Arial" w:hAnsi="Arial" w:cs="Arial"/>
              </w:rPr>
            </w:pPr>
            <w:r w:rsidRPr="00CE11AE">
              <w:rPr>
                <w:rFonts w:ascii="Arial" w:hAnsi="Arial" w:cs="Arial"/>
              </w:rPr>
              <w:t>VTA GABA neurons</w:t>
            </w:r>
          </w:p>
        </w:tc>
        <w:tc>
          <w:tcPr>
            <w:tcW w:w="881" w:type="pct"/>
          </w:tcPr>
          <w:p w14:paraId="4D42CD1C" w14:textId="77777777" w:rsidR="00051048" w:rsidRDefault="00051048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~ </w:t>
            </w:r>
            <w:r w:rsidRPr="00113C11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-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17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Hz</w:t>
            </w:r>
          </w:p>
          <w:p w14:paraId="16C39918" w14:textId="77777777" w:rsidR="00051048" w:rsidRPr="00113C11" w:rsidRDefault="00051048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759" w:type="pct"/>
          </w:tcPr>
          <w:p w14:paraId="68D4F31A" w14:textId="77777777" w:rsidR="00051048" w:rsidRPr="00113C11" w:rsidRDefault="00051048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 w:rsidRPr="00113C11">
              <w:rPr>
                <w:rFonts w:ascii="Arial" w:hAnsi="Arial" w:cs="Arial"/>
              </w:rPr>
              <w:t>Steffensen</w:t>
            </w:r>
            <w:proofErr w:type="spellEnd"/>
            <w:r>
              <w:rPr>
                <w:rFonts w:ascii="Arial" w:hAnsi="Arial" w:cs="Arial"/>
              </w:rPr>
              <w:t xml:space="preserve"> et al. (</w:t>
            </w:r>
            <w:r w:rsidRPr="00113C11">
              <w:rPr>
                <w:rFonts w:ascii="Arial" w:hAnsi="Arial" w:cs="Arial"/>
              </w:rPr>
              <w:t>1998</w:t>
            </w:r>
            <w:r>
              <w:rPr>
                <w:rFonts w:ascii="Arial" w:hAnsi="Arial" w:cs="Arial"/>
              </w:rPr>
              <w:t xml:space="preserve">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>
              <w:rPr>
                <w:rFonts w:ascii="Arial" w:hAnsi="Arial" w:cs="Arial"/>
              </w:rPr>
              <w:t>Steffensen</w:t>
            </w:r>
            <w:proofErr w:type="spellEnd"/>
            <w:r>
              <w:rPr>
                <w:rFonts w:ascii="Arial" w:hAnsi="Arial" w:cs="Arial"/>
              </w:rPr>
              <w:t xml:space="preserve"> et al. (2008);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>
              <w:rPr>
                <w:rFonts w:ascii="Arial" w:hAnsi="Arial" w:cs="Arial"/>
              </w:rPr>
              <w:t>Steffensen</w:t>
            </w:r>
            <w:proofErr w:type="spellEnd"/>
            <w:r>
              <w:rPr>
                <w:rFonts w:ascii="Arial" w:hAnsi="Arial" w:cs="Arial"/>
              </w:rPr>
              <w:t xml:space="preserve"> et al. (2009);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Cohen et al. (2012); </w:t>
            </w:r>
            <w:r w:rsidRPr="00FC52A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</w:rPr>
              <w:t>Tolu et al. (2013)</w:t>
            </w:r>
          </w:p>
        </w:tc>
      </w:tr>
      <w:tr w:rsidR="00051048" w14:paraId="19459EF0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41462300" w14:textId="77777777" w:rsidR="00051048" w:rsidRPr="00CE11AE" w:rsidRDefault="00051048" w:rsidP="00DC1272">
            <w:pPr>
              <w:rPr>
                <w:rFonts w:ascii="Arial" w:hAnsi="Arial" w:cs="Arial"/>
                <w:color w:val="000000" w:themeColor="text1"/>
              </w:rPr>
            </w:pPr>
            <w:r w:rsidRPr="00CE11AE">
              <w:rPr>
                <w:rFonts w:ascii="Arial" w:hAnsi="Arial" w:cs="Arial"/>
                <w:color w:val="000000" w:themeColor="text1"/>
              </w:rPr>
              <w:t>DRN 5-HT neurons</w:t>
            </w:r>
          </w:p>
        </w:tc>
        <w:tc>
          <w:tcPr>
            <w:tcW w:w="881" w:type="pct"/>
          </w:tcPr>
          <w:p w14:paraId="3AB9920A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~ 3 - 5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Hz</w:t>
            </w:r>
          </w:p>
        </w:tc>
        <w:tc>
          <w:tcPr>
            <w:tcW w:w="2759" w:type="pct"/>
          </w:tcPr>
          <w:p w14:paraId="7C2457B4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 w:rsidRPr="00113C11">
              <w:rPr>
                <w:rFonts w:ascii="Arial" w:hAnsi="Arial" w:cs="Arial"/>
                <w:color w:val="000000" w:themeColor="text1"/>
              </w:rPr>
              <w:t>Allers</w:t>
            </w:r>
            <w:proofErr w:type="spellEnd"/>
            <w:r w:rsidRPr="00113C11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&amp;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Sharp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113C11">
              <w:rPr>
                <w:rFonts w:ascii="Arial" w:hAnsi="Arial" w:cs="Arial"/>
                <w:color w:val="000000" w:themeColor="text1"/>
              </w:rPr>
              <w:t>2003</w:t>
            </w:r>
            <w:r>
              <w:rPr>
                <w:rFonts w:ascii="Arial" w:hAnsi="Arial" w:cs="Arial"/>
                <w:color w:val="000000" w:themeColor="text1"/>
              </w:rPr>
              <w:t xml:space="preserve">); 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*Judge </w:t>
            </w:r>
            <w:r>
              <w:rPr>
                <w:rFonts w:ascii="Arial" w:hAnsi="Arial" w:cs="Arial"/>
                <w:color w:val="000000" w:themeColor="text1"/>
              </w:rPr>
              <w:t>&amp;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Gartside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113C11">
              <w:rPr>
                <w:rFonts w:ascii="Arial" w:hAnsi="Arial" w:cs="Arial"/>
                <w:color w:val="000000" w:themeColor="text1"/>
              </w:rPr>
              <w:t>2006</w:t>
            </w:r>
            <w:r>
              <w:rPr>
                <w:rFonts w:ascii="Arial" w:hAnsi="Arial" w:cs="Arial"/>
                <w:color w:val="000000" w:themeColor="text1"/>
              </w:rPr>
              <w:t>);</w:t>
            </w:r>
            <w:r w:rsidRPr="00E77F7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proofErr w:type="spellStart"/>
            <w:r w:rsidRPr="00E77F77">
              <w:rPr>
                <w:rFonts w:ascii="Arial" w:hAnsi="Arial" w:cs="Arial"/>
                <w:color w:val="000000" w:themeColor="text1"/>
              </w:rPr>
              <w:t>Hajós</w:t>
            </w:r>
            <w:proofErr w:type="spellEnd"/>
            <w:r w:rsidRPr="00113C11">
              <w:rPr>
                <w:rFonts w:ascii="Arial" w:hAnsi="Arial" w:cs="Arial"/>
                <w:color w:val="000000" w:themeColor="text1"/>
              </w:rPr>
              <w:t xml:space="preserve"> et al. </w:t>
            </w:r>
            <w:r>
              <w:rPr>
                <w:rFonts w:ascii="Arial" w:hAnsi="Arial" w:cs="Arial"/>
                <w:color w:val="000000" w:themeColor="text1"/>
              </w:rPr>
              <w:t>(</w:t>
            </w:r>
            <w:r w:rsidRPr="00113C11">
              <w:rPr>
                <w:rFonts w:ascii="Arial" w:hAnsi="Arial" w:cs="Arial"/>
                <w:color w:val="000000" w:themeColor="text1"/>
              </w:rPr>
              <w:t>2007</w:t>
            </w:r>
            <w:r>
              <w:rPr>
                <w:rFonts w:ascii="Arial" w:hAnsi="Arial" w:cs="Arial"/>
                <w:color w:val="000000" w:themeColor="text1"/>
              </w:rPr>
              <w:t xml:space="preserve">);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  <w:color w:val="000000" w:themeColor="text1"/>
              </w:rPr>
              <w:t xml:space="preserve">Ranade &amp;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Mainen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(2009);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  <w:color w:val="000000" w:themeColor="text1"/>
              </w:rPr>
              <w:t xml:space="preserve">Cohen et al. (2015);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  <w:color w:val="000000" w:themeColor="text1"/>
              </w:rPr>
              <w:t xml:space="preserve">Li et al. (2016); </w:t>
            </w:r>
            <w:r w:rsidRPr="00113C11">
              <w:rPr>
                <w:rFonts w:ascii="Arial" w:hAnsi="Arial" w:cs="Arial"/>
                <w:color w:val="000000" w:themeColor="text1"/>
              </w:rPr>
              <w:t>*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Milnar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et al. (2016); </w:t>
            </w:r>
            <w:r w:rsidRPr="00113C11">
              <w:rPr>
                <w:rFonts w:ascii="Arial" w:hAnsi="Arial" w:cs="Arial"/>
                <w:color w:val="000000" w:themeColor="text1"/>
              </w:rPr>
              <w:t>*</w:t>
            </w:r>
            <w:proofErr w:type="spellStart"/>
            <w:r w:rsidRPr="00E31CD1">
              <w:rPr>
                <w:rFonts w:ascii="Arial" w:hAnsi="Arial" w:cs="Arial"/>
                <w:color w:val="000000" w:themeColor="text1"/>
              </w:rPr>
              <w:t>Srejic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et al. (2016)</w:t>
            </w:r>
          </w:p>
        </w:tc>
      </w:tr>
      <w:tr w:rsidR="00051048" w14:paraId="75EC2FEA" w14:textId="77777777" w:rsidTr="00DC1272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1EEF0B1F" w14:textId="77777777" w:rsidR="00051048" w:rsidRPr="00CE11AE" w:rsidRDefault="00051048" w:rsidP="00DC1272">
            <w:pPr>
              <w:rPr>
                <w:rFonts w:ascii="Arial" w:hAnsi="Arial" w:cs="Arial"/>
              </w:rPr>
            </w:pPr>
            <w:r w:rsidRPr="00CE11AE">
              <w:rPr>
                <w:rFonts w:ascii="Arial" w:hAnsi="Arial" w:cs="Arial"/>
              </w:rPr>
              <w:t>DRN GABA neurons</w:t>
            </w:r>
          </w:p>
        </w:tc>
        <w:tc>
          <w:tcPr>
            <w:tcW w:w="881" w:type="pct"/>
          </w:tcPr>
          <w:p w14:paraId="538A6500" w14:textId="77777777" w:rsidR="00051048" w:rsidRPr="00113C11" w:rsidRDefault="00051048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~ </w:t>
            </w:r>
            <w:r w:rsidRPr="00113C1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113C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Pr="00113C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</w:t>
            </w:r>
            <w:r w:rsidRPr="00113C11">
              <w:rPr>
                <w:rFonts w:ascii="Arial" w:hAnsi="Arial" w:cs="Arial"/>
              </w:rPr>
              <w:t xml:space="preserve"> Hz</w:t>
            </w:r>
          </w:p>
        </w:tc>
        <w:tc>
          <w:tcPr>
            <w:tcW w:w="2759" w:type="pct"/>
          </w:tcPr>
          <w:p w14:paraId="7F518870" w14:textId="77777777" w:rsidR="00051048" w:rsidRPr="00113C11" w:rsidRDefault="00051048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27850">
              <w:rPr>
                <w:rFonts w:ascii="Arial" w:hAnsi="Arial" w:cs="Arial"/>
                <w:vertAlign w:val="superscript"/>
              </w:rPr>
              <w:t>+</w:t>
            </w:r>
            <w:proofErr w:type="spellStart"/>
            <w:r w:rsidRPr="00113C11">
              <w:rPr>
                <w:rFonts w:ascii="Arial" w:hAnsi="Arial" w:cs="Arial"/>
              </w:rPr>
              <w:t>Allers</w:t>
            </w:r>
            <w:proofErr w:type="spellEnd"/>
            <w:r w:rsidRPr="00113C1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&amp;</w:t>
            </w:r>
            <w:r w:rsidRPr="00113C11">
              <w:rPr>
                <w:rFonts w:ascii="Arial" w:hAnsi="Arial" w:cs="Arial"/>
              </w:rPr>
              <w:t xml:space="preserve"> Sharp</w:t>
            </w:r>
            <w:r>
              <w:rPr>
                <w:rFonts w:ascii="Arial" w:hAnsi="Arial" w:cs="Arial"/>
              </w:rPr>
              <w:t xml:space="preserve"> (</w:t>
            </w:r>
            <w:r w:rsidRPr="00113C11">
              <w:rPr>
                <w:rFonts w:ascii="Arial" w:hAnsi="Arial" w:cs="Arial"/>
              </w:rPr>
              <w:t>2003</w:t>
            </w:r>
            <w:r>
              <w:rPr>
                <w:rFonts w:ascii="Arial" w:hAnsi="Arial" w:cs="Arial"/>
              </w:rPr>
              <w:t xml:space="preserve">); </w:t>
            </w:r>
            <w:r w:rsidRPr="00227850">
              <w:rPr>
                <w:rFonts w:ascii="Arial" w:hAnsi="Arial" w:cs="Arial"/>
                <w:vertAlign w:val="superscript"/>
              </w:rPr>
              <w:t>+</w:t>
            </w:r>
            <w:r w:rsidRPr="00113C11">
              <w:rPr>
                <w:rFonts w:ascii="Arial" w:hAnsi="Arial" w:cs="Arial"/>
              </w:rPr>
              <w:t>Sakai</w:t>
            </w:r>
            <w:r>
              <w:rPr>
                <w:rFonts w:ascii="Arial" w:hAnsi="Arial" w:cs="Arial"/>
              </w:rPr>
              <w:t xml:space="preserve"> (</w:t>
            </w:r>
            <w:r w:rsidRPr="00113C11">
              <w:rPr>
                <w:rFonts w:ascii="Arial" w:hAnsi="Arial" w:cs="Arial"/>
              </w:rPr>
              <w:t>2011</w:t>
            </w:r>
            <w:r>
              <w:rPr>
                <w:rFonts w:ascii="Arial" w:hAnsi="Arial" w:cs="Arial"/>
              </w:rPr>
              <w:t xml:space="preserve">);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 w:rsidRPr="00113C11">
              <w:rPr>
                <w:rFonts w:ascii="Arial" w:hAnsi="Arial" w:cs="Arial"/>
                <w:color w:val="000000" w:themeColor="text1"/>
              </w:rPr>
              <w:t>Challis et al.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113C11">
              <w:rPr>
                <w:rFonts w:ascii="Arial" w:hAnsi="Arial" w:cs="Arial"/>
                <w:color w:val="000000" w:themeColor="text1"/>
              </w:rPr>
              <w:t>2013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; </w:t>
            </w:r>
            <w:r w:rsidRPr="00F45135">
              <w:rPr>
                <w:rFonts w:ascii="Arial" w:hAnsi="Arial" w:cs="Arial"/>
                <w:color w:val="000000" w:themeColor="text1"/>
                <w:vertAlign w:val="superscript"/>
              </w:rPr>
              <w:t>+</w:t>
            </w:r>
            <w:r>
              <w:rPr>
                <w:rFonts w:ascii="Arial" w:hAnsi="Arial" w:cs="Arial"/>
                <w:color w:val="000000" w:themeColor="text1"/>
              </w:rPr>
              <w:t xml:space="preserve">Li et al. (2016); </w:t>
            </w:r>
            <w:r w:rsidRPr="00113C11">
              <w:rPr>
                <w:rFonts w:ascii="Arial" w:hAnsi="Arial" w:cs="Arial"/>
                <w:color w:val="000000" w:themeColor="text1"/>
              </w:rPr>
              <w:t>*Hernández-Vázquez et al.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113C11">
              <w:rPr>
                <w:rFonts w:ascii="Arial" w:hAnsi="Arial" w:cs="Arial"/>
                <w:color w:val="000000" w:themeColor="text1"/>
              </w:rPr>
              <w:t>2018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051048" w14:paraId="7B081AD6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pct"/>
          </w:tcPr>
          <w:p w14:paraId="00F70E56" w14:textId="77777777" w:rsidR="00051048" w:rsidRPr="00CE11AE" w:rsidRDefault="00051048" w:rsidP="00DC1272">
            <w:pPr>
              <w:rPr>
                <w:rFonts w:ascii="Arial" w:hAnsi="Arial" w:cs="Arial"/>
                <w:color w:val="000000" w:themeColor="text1"/>
              </w:rPr>
            </w:pPr>
            <w:r w:rsidRPr="00CE11AE">
              <w:rPr>
                <w:rFonts w:ascii="Arial" w:hAnsi="Arial" w:cs="Arial"/>
                <w:color w:val="000000" w:themeColor="text1"/>
              </w:rPr>
              <w:t>DRN Glu neurons</w:t>
            </w:r>
          </w:p>
        </w:tc>
        <w:tc>
          <w:tcPr>
            <w:tcW w:w="881" w:type="pct"/>
          </w:tcPr>
          <w:p w14:paraId="20EDA321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~ 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3 </w:t>
            </w:r>
            <w:r>
              <w:rPr>
                <w:rFonts w:ascii="Arial" w:hAnsi="Arial" w:cs="Arial"/>
                <w:color w:val="000000" w:themeColor="text1"/>
              </w:rPr>
              <w:t>-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  <w:r w:rsidRPr="00113C11">
              <w:rPr>
                <w:rFonts w:ascii="Arial" w:hAnsi="Arial" w:cs="Arial"/>
                <w:color w:val="000000" w:themeColor="text1"/>
              </w:rPr>
              <w:t xml:space="preserve"> Hz</w:t>
            </w:r>
          </w:p>
        </w:tc>
        <w:tc>
          <w:tcPr>
            <w:tcW w:w="2759" w:type="pct"/>
          </w:tcPr>
          <w:p w14:paraId="5797F112" w14:textId="77777777" w:rsidR="00051048" w:rsidRPr="00113C11" w:rsidRDefault="00051048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EC0374">
              <w:rPr>
                <w:rFonts w:ascii="Arial" w:hAnsi="Arial" w:cs="Arial"/>
                <w:vertAlign w:val="superscript"/>
              </w:rPr>
              <w:t>+</w:t>
            </w:r>
            <w:r w:rsidRPr="00113C11">
              <w:rPr>
                <w:rFonts w:ascii="Arial" w:hAnsi="Arial" w:cs="Arial"/>
                <w:color w:val="000000" w:themeColor="text1"/>
              </w:rPr>
              <w:t>Taylor et al.</w:t>
            </w:r>
            <w:r>
              <w:rPr>
                <w:rFonts w:ascii="Arial" w:hAnsi="Arial" w:cs="Arial"/>
                <w:color w:val="000000" w:themeColor="text1"/>
              </w:rPr>
              <w:t xml:space="preserve"> (</w:t>
            </w:r>
            <w:r w:rsidRPr="00113C11">
              <w:rPr>
                <w:rFonts w:ascii="Arial" w:hAnsi="Arial" w:cs="Arial"/>
                <w:color w:val="000000" w:themeColor="text1"/>
              </w:rPr>
              <w:t>2019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672308"/>
    <w:rsid w:val="009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1</cp:revision>
  <dcterms:created xsi:type="dcterms:W3CDTF">2020-09-16T22:48:00Z</dcterms:created>
  <dcterms:modified xsi:type="dcterms:W3CDTF">2020-09-16T22:49:00Z</dcterms:modified>
</cp:coreProperties>
</file>