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M.S. Computer Science, Inha University (2021.08)  ·  B.S. Computer Science, Hannam University (2018.02)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사내 메신저 요약 기능 </w:t>
      </w:r>
      <w:r>
        <w:rPr>
          <w:rFonts w:eastAsia="맑은 고딕"/>
          <w:b/>
          <w:bCs/>
          <w:sz w:val="22"/>
          <w:szCs w:val="22"/>
        </w:rPr>
        <w:t>전사 배포</w:t>
      </w:r>
      <w:r>
        <w:rPr>
          <w:rFonts w:eastAsia="맑은 고딕"/>
          <w:b w:val="0"/>
          <w:bCs/>
          <w:sz w:val="22"/>
          <w:szCs w:val="22"/>
        </w:rPr>
        <w:t xml:space="preserve">(전 직원 약 300명) · 고객사 </w:t>
      </w:r>
      <w:r>
        <w:rPr>
          <w:rFonts w:eastAsia="맑은 고딕"/>
          <w:b/>
          <w:bCs/>
          <w:sz w:val="22"/>
          <w:szCs w:val="22"/>
        </w:rPr>
        <w:t>AIG 상담센터 STT</w:t>
      </w:r>
      <w:r>
        <w:rPr>
          <w:rFonts w:eastAsia="맑은 고딕"/>
          <w:b w:val="0"/>
          <w:bCs/>
          <w:sz w:val="22"/>
          <w:szCs w:val="22"/>
        </w:rPr>
        <w:t xml:space="preserve"> 배포·운영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AI Engineer · Serving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부하 테스트 3층 설계(스모크 → 순간 폭주 동시 4~256 → Poisson 도착 지속 부하) — Stream 기준 동시 256건까지 실패 없이 수용, 정상 부하 TTFB p50 70ms(p95 219ms), 최대 처리량 8.7 rps. 모델 경량화(1.7B→0.6B) 후 재튜닝으로 burst p95 TTFB 0.5초(동시 15)·1초(동시 30)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기반·실시간 스트리밍 두 추론 모델을 구성하고 HTTP·gRPC 제공. 전처리·후처리·서비스 계층으로 모듈화하고 로그 로테이션·아카이빙, 컨테이너 자동 재시작으로 안정성 보강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자사 메신저 제품의 영상통화 회의록·전사에 화자 구분이 필요해 Pyannote 사전 학습 모델을 평가하고 공개 데이터로 파인튜닝을 시도 — 데이터 양·라벨 부족으로 DER 개선이 없어 미채택. 판정 근거를 남기고 종료 (Pyannote, PyTorch)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제1발명자 특허 2건 — 센서 퓨전 기반 시맨틱 세그멘테이션·3차원 해석 방법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CERTIFICATIONS &amp; LANGUAGE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