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쪼개 첫 문장부터 WebSocket 으로 스트리밍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 가 CPU 엔진으로 자동 폴백. 무중단 롤링 재배포와 온보딩·런북·장애복구·성능 명세로 인수인계 가능 상태 유지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지속 부하) — 폭주 256건이 같은 순간 도착해도 실패 0, 지속 부하 TTFB p50 70ms·최대 8.7 rps. 경량화(1.7B → 0.6B) 재튜닝 후 burst p95 0.5초(동시 15)·1초(동시 30), 동시 스트림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Latency: 지표를 헤더 도착(TTFB)에서 실제 재생 시작으로 교체한 뒤, SDK 읽기 버퍼(오디오 683ms 분량)와 스트림 홀드백(615ms)을 분리해 첫 소리 426 → 114ms (73% 단축)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 → 60 MiB/h). 잔여 89%는 jemalloc 힙 프로파일로 torch stable ABI 헤더까지 추적해 우회. 이슈 #6352 리포트, 기존 PR #4349에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