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3~10초로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다른 담당자가 이어받을 수 있도록 정리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256건이 같은 순간 도착하는 폭주에도 실패 0, 지속 부하 TTFB p50 70ms(p95 219ms)·최대 8.7 rps (2026.07.20). 모델 경량화(1.7B → 0.6B) 후 재튜닝으로 burst p95 TTFB 0.5초(동시 15)·1초(동시 30), 동시 스트림 수용 한계 36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· Supertonic 31)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정규화,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메모리 누수 전수 조사 (vLLM-Omni 엔진) — 43시간 롱런에서 발견한 호스트 메모리 선형 증가를 원인 6건(abort 송신측 상태, KV 블록 리스트, SHM 키 장부, jemalloc 미연결, 취소 요청 장부, torch 문자열 unbox)으로 규명해 모두 수정. 230~258 → +0.03 MiB/h, 운영 서버 70시간 343만 건 실패 0·재시작 0, 부하 종료 시 1,025 MiB 반납으로 누수 없음 확정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주 누수는 부하·할당자·캐시가 다른 4개 구성에서 증가율이 13배 달라도 abort당 36~56 KB로 일정한 불변량으로 특정(257 → 60 MiB/h). 잔여의 89%는 jemalloc 힙 프로파일 표집 보정으로 torch stable ABI 헤더까지 추적해 우회 패치. 이슈 #6352 리포트,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합성 결과 QA, TTS 학습 데이터 정제, ZipVoice 모델 학습, 사내 운영 테스트를 수행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데이터를 모아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사전 학습 모델 대비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대화-요약 쌍 데이터 수집과 ROUGE·사내 휴먼 평가를 평가 계획으로 설계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Latent Diffusion으로 전차 이미지 생성 실험 — 웹 수집 전차 이미지 7,586장으로 새 이미지를 만들어 실제 데이터와 상당 부분 유사함을 확인(대체 수준은 아님)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국방 도메인 이미지에서 전차를 자동 탐지하는 모델 개발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 — 2D MIoU 31.94%(단일 모달 2배).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수집·전처리 파이프라인 구축 (Python)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4개 셋에서 자명한 대조군과 비교 — 경보 유효율 93.6~98.0%(오탐 0~0.9%), 공식 test 셋 RUL MAE 15.8~23.0사이클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