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yoon7829@gmail.com  |  ckc5800.github.io  |  github.com/ckc5800</w:t>
      </w:r>
    </w:p>
    <w:p w:rsidR="00796FDB" w:rsidRDefault="00000000">
      <w:pPr>
        <w:spacing w:after="120" w:line="260" w:lineRule="auto"/>
        <w:jc w:val="center"/>
      </w:pPr>
      <w:r>
        <w:rPr>
          <w:b w:val="0"/>
        </w:rPr>
        <w:t>M.S. Computer Science, Inha University (2021.08)  ·  B.S. Computer Science, Hannam University (2018.02)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엔진 처리량 </w:t>
      </w:r>
      <w:r>
        <w:rPr>
          <w:rFonts w:eastAsia="맑은 고딕"/>
          <w:b/>
          <w:bCs/>
          <w:sz w:val="22"/>
          <w:szCs w:val="22"/>
        </w:rPr>
        <w:t>4.5배</w:t>
      </w:r>
      <w:r>
        <w:rPr>
          <w:rFonts w:eastAsia="맑은 고딕"/>
          <w:b w:val="0"/>
          <w:bCs/>
          <w:sz w:val="22"/>
          <w:szCs w:val="22"/>
        </w:rPr>
        <w:t xml:space="preserve"> (0.68 → 3.09 rps) — FP8 양자화·executor 백엔드 교체·vLLM 마이그레이션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TTS 첫 응답 </w:t>
      </w:r>
      <w:r>
        <w:rPr>
          <w:rFonts w:eastAsia="맑은 고딕"/>
          <w:b/>
          <w:bCs/>
          <w:sz w:val="22"/>
          <w:szCs w:val="22"/>
        </w:rPr>
        <w:t>절반 단축</w:t>
      </w:r>
      <w:r>
        <w:rPr>
          <w:rFonts w:eastAsia="맑은 고딕"/>
          <w:b w:val="0"/>
          <w:bCs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20여 개 모델</w:t>
      </w:r>
      <w:r>
        <w:rPr>
          <w:rFonts w:eastAsia="맑은 고딕"/>
          <w:b w:val="0"/>
          <w:bCs/>
          <w:sz w:val="22"/>
          <w:szCs w:val="22"/>
        </w:rPr>
        <w:t xml:space="preserve">이 도는 Kubernetes 클러스터의 관측 스택 </w:t>
      </w:r>
      <w:r>
        <w:rPr>
          <w:rFonts w:eastAsia="맑은 고딕"/>
          <w:b/>
          <w:bCs/>
          <w:sz w:val="22"/>
          <w:szCs w:val="22"/>
        </w:rPr>
        <w:t>5종</w:t>
      </w:r>
      <w:r>
        <w:rPr>
          <w:rFonts w:eastAsia="맑은 고딕"/>
          <w:b w:val="0"/>
          <w:bCs/>
          <w:sz w:val="22"/>
          <w:szCs w:val="22"/>
        </w:rPr>
        <w:t xml:space="preserve"> 단독 구축 (3인 인프라 팀)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 xml:space="preserve">• </w:t>
      </w:r>
      <w:r>
        <w:rPr>
          <w:rFonts w:eastAsia="맑은 고딕"/>
          <w:b/>
          <w:bCs/>
          <w:sz w:val="22"/>
          <w:szCs w:val="22"/>
        </w:rPr>
        <w:t>논문 7편 · 특허 2건</w:t>
      </w:r>
      <w:r>
        <w:rPr>
          <w:rFonts w:eastAsia="맑은 고딕"/>
          <w:b w:val="0"/>
          <w:bCs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spacing w:after="40" w:line="240" w:lineRule="auto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sz w:val="22"/>
          <w:szCs w:val="22"/>
        </w:rPr>
        <w:t xml:space="preserve"> Python (Expert), TypeScript, SQL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AI Engineer · Serving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(vllm-project/vllm-omni) — 운영 중 호스트 메모리 선형 증가를 abort된 요청의 sender 상태 미회수로 규명. 부하·할당자·캐시가 다른 4개 구성에서 증가율은 13배 차이 나지만 abort당 36~56 KB로 일정한 불변량을 근거로 원인 확정, 최소 패치 A/B로 257 → 60 MiB/h(77% 감소) 검증. 이슈 #6352로 리포트한 뒤 같은 원인의 기존 PR #4349에 프로덕션 검증 데이터 제공 — 작성자·리뷰어가 근거로 인용 (머지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 분리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CERTIFICATIONS &amp; LANGUAGE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Linux Master (2016), Data Analytics Semi-Professional (2021)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