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6년차 AI 엔지니어, 프로덕션 ML 시스템 구축 전문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초저지연 스트리밍: RTF (Real-Time Factor): 0.1 이하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 xml:space="preserve">Python 3.12, </w:t>
      </w:r>
      <w:proofErr w:type="spellStart"/>
      <w:r>
        <w:t>FastAPI</w:t>
      </w:r>
      <w:proofErr w:type="spellEnd"/>
      <w:r>
        <w:t xml:space="preserve">, WebSocket, </w:t>
      </w:r>
      <w:proofErr w:type="spellStart"/>
      <w:r>
        <w:t>vLLM</w:t>
      </w:r>
      <w:proofErr w:type="spellEnd"/>
      <w:r>
        <w:t>-Omni, Redis (Pub/Sub, Distributed Lock, TTL Cache), React 18, TypeScript, CUDA Optimization, FP8 Quantization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(AICESS)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Technologies: Triton Inference Server, Streaming ASR Pipeline</w:t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 추론 환경 최적화로 동시 처리 채널 확장, 추론 파이프라인 개선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Infiniic</w:t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)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(Sensor Fusion)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Inha University (2021.08)  |  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Hannam University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 모델 Latent Diffusion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