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일에 집중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운영 중인 TTS 플랫폼 단독 구축 —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rps, FP8·vLLM 0.24 이관)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스트리밍 API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상담센터용 자사 TTS 솔루션을 신규 구축 — 모델 선정(1.7B → 0.6B)부터 설계·최적화·배포·운영까지 전 구간 단독 수행, 고객사 PoC·시연을 거쳐 현재 사내 솔루션에 적용돼 운영 중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 xml:space="preserve">• </w:t>
      </w:r>
      <w:r>
        <w:rPr>
          <w:rFonts w:eastAsia="맑은 고딕" w:ascii="Calibri" w:hAnsi="Calibri" w:cs="Calibri"/>
          <w:b/>
          <w:color w:val="000000"/>
          <w:sz w:val="20"/>
        </w:rPr>
        <w:t>처리량 4.2배 (0.73 → 3.09 rps)</w:t>
      </w:r>
      <w:r>
        <w:rPr>
          <w:rFonts w:eastAsia="맑은 고딕" w:ascii="Calibri" w:hAnsi="Calibri" w:cs="Calibri"/>
          <w:b w:val="0"/>
          <w:color w:val="000000"/>
          <w:sz w:val="20"/>
        </w:rPr>
        <w:t xml:space="preserve"> — "1.7 rps가 천장"이던 사내 결론을 버전×executor 2×2 전수 벤치로 반증. 3층 부하 테스트에서 폭주 256건 실패 0·지속 부하 최대 8.7 rps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 xml:space="preserve">• </w:t>
      </w:r>
      <w:r>
        <w:rPr>
          <w:rFonts w:eastAsia="맑은 고딕" w:ascii="Calibri" w:hAnsi="Calibri" w:cs="Calibri"/>
          <w:b/>
          <w:color w:val="000000"/>
          <w:sz w:val="20"/>
        </w:rPr>
        <w:t>동시 처리 16 → 52</w:t>
      </w:r>
      <w:r>
        <w:rPr>
          <w:rFonts w:eastAsia="맑은 고딕" w:ascii="Calibri" w:hAnsi="Calibri" w:cs="Calibri"/>
          <w:b w:val="0"/>
          <w:color w:val="000000"/>
          <w:sz w:val="20"/>
        </w:rPr>
        <w:t xml:space="preserve"> (혼합 16음성·첫 오디오 p95 ≤1초) — 레버별 몫을 교대 A/B로 분리(temperature 0.9 −37~41% 등), 동시 24 기준 973 → 554ms(−43%), 8시간 소크 45.3만 건 불량 0.02%. 10월 전체 스윕(후보 13종 기각)에서 한도 56까지 통과로 재확정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 xml:space="preserve">• </w:t>
      </w:r>
      <w:r>
        <w:rPr>
          <w:rFonts w:eastAsia="맑은 고딕" w:ascii="Calibri" w:hAnsi="Calibri" w:cs="Calibri"/>
          <w:b/>
          <w:color w:val="000000"/>
          <w:sz w:val="20"/>
        </w:rPr>
        <w:t>첫 소리 426 → 114ms (73% 단축)</w:t>
      </w:r>
      <w:r>
        <w:rPr>
          <w:rFonts w:eastAsia="맑은 고딕" w:ascii="Calibri" w:hAnsi="Calibri" w:cs="Calibri"/>
          <w:b w:val="0"/>
          <w:color w:val="000000"/>
          <w:sz w:val="20"/>
        </w:rPr>
        <w:t xml:space="preserve"> — 지표를 헤더 도착(TTFB)에서 실제 재생 시작으로 바꾸자 드러난 SDK 읽기 버퍼(오디오 683ms 분량)와 스트림 홀드백(615ms)을 분리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 xml:space="preserve">• </w:t>
      </w:r>
      <w:r>
        <w:rPr>
          <w:rFonts w:eastAsia="맑은 고딕" w:ascii="Calibri" w:hAnsi="Calibri" w:cs="Calibri"/>
          <w:b/>
          <w:color w:val="000000"/>
          <w:sz w:val="20"/>
        </w:rPr>
        <w:t>음질 기계음 원인 규명</w:t>
      </w:r>
      <w:r>
        <w:rPr>
          <w:rFonts w:eastAsia="맑은 고딕" w:ascii="Calibri" w:hAnsi="Calibri" w:cs="Calibri"/>
          <w:b w:val="0"/>
          <w:color w:val="000000"/>
          <w:sz w:val="20"/>
        </w:rPr>
        <w:t xml:space="preserve"> — 서버 청취로 9월 "경계 단절 없음" 판정을 철회하고, 보코더 좌문맥 부족(4 &lt; sliding window 72)을 원인으로 지목. 참조 문맥 고정으로 처리량을 지킨 채 좌문맥 12 채택(자동 음질 +0.17, 블라인드 장문 11:1, 최대 동시 처리 동일)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 xml:space="preserve">• </w:t>
      </w:r>
      <w:r>
        <w:rPr>
          <w:rFonts w:eastAsia="맑은 고딕" w:ascii="Calibri" w:hAnsi="Calibri" w:cs="Calibri"/>
          <w:b/>
          <w:color w:val="000000"/>
          <w:sz w:val="20"/>
        </w:rPr>
        <w:t>메모리 누수 230~258 → +0.03 MiB/h</w:t>
      </w:r>
      <w:r>
        <w:rPr>
          <w:rFonts w:eastAsia="맑은 고딕" w:ascii="Calibri" w:hAnsi="Calibri" w:cs="Calibri"/>
          <w:b w:val="0"/>
          <w:color w:val="000000"/>
          <w:sz w:val="20"/>
        </w:rPr>
        <w:t xml:space="preserve"> — 43시간 롱런의 선형 증가를 원인 6건으로 규명·전부 수정, 운영 70시간 343만 건 실패 0. 주 누수는 증가율이 13배 다른 4개 구성에서도 abort당 36~56 KB로 일정한 불변량으로 특정, vLLM-Omni 이슈 #6352·PR #4349에 검증 데이터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구축: vLLM(GPU) 엔진 위에 FastAPI 게이트웨이·Redis 캐싱/분산락·React 대시보드 — 문장 단위 WebSocket 스트리밍, Circuit Breaker, 무중단 롤링 재배포(초기 CPU 폴백 엔진은 미운영 확정으로 2026.10 제거)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기능: 참조 음성 3~10초 화자 복제, OpenAI·Soniox 호환 인터페이스로 외부 서비스가 코드 수정 없이 연동, ITN 정규화 정확도 50.1% → 70.9%(검증셋)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자가 점검·조직 — 도메인 11종을 하루 3회 로테이션 점검하는 에이전트 러너 운영(리포트 89건·HIGH 39), 결함은 실행으로 확증하고 기각 가설 75건까지 기록. 결함 502건 재대조로 수정률 11%를 실측한 뒤 적대적 검증으로 수정 확정 142건 중 141건 마감(유닛 206 → 511). 90일 커밋 1,256건 1인 작성을 근거로 2인 체제 R&amp;R·인수인계서 작성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합성 결과 QA, TTS 학습 데이터 정제, ZipVoice 모델 학습, 사내 운영 테스트를 수행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대형 보험사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데이터를 모아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사전 학습 모델 대비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Elasticsearch, 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대화-요약 쌍 데이터 수집과 ROUGE·사내 휴먼 평가를 평가 계획으로 설계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Latent Diffusion으로 전차 이미지 생성 실험. 웹 수집 전차 이미지 7,586장으로 새 이미지를 만들어 실제 데이터와 상당 부분 유사함을 확인(대체 수준은 아님).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국방 도메인 이미지에서 전차를 자동 탐지하는 모델 개발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설계, 2D MIoU 31.94%(단일 모달 2배).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수집·전처리 파이프라인 구축 (Python)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80.7·81.4%, 2회).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(read-only 도구 10종·리소스·프롬프트, 의존성 2개, 도구 조합 평가 20문항)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4개 셋에서 자명한 대조군과 비교: 경보 유효율 93.6~98.0%(오탐 0~0.9%), 공식 test 셋 RUL MAE 15.8~23.0사이클. 비용축 선택(경보 없음 대비 90% 절감)과 위험-커버리지 곡선까지 측정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진단·재측정으로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이윤선</dc:creator>
  <cp:lastModifiedBy>이윤선</cp:lastModifiedBy>
  <cp:revision>3</cp:revision>
  <dcterms:created xsi:type="dcterms:W3CDTF">2026-07-06T14:02:00Z</dcterms:created>
  <dcterms:modified xsi:type="dcterms:W3CDTF">2026-07-07T12:54:00Z</dcterms:modified>
  <dc:title>이윤선 이력서</dc:title>
</cp:coreProperties>
</file>