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3~10초로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· Supertonic 31 · 중복 제외 32)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정규화,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 → 60 MiB/h). 잔여의 89%는 jemalloc 힙 프로파일 표집 보정으로 torch stable ABI 헤더까지 추적해 우회 패치. 이슈 #6352 리포트,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 — 2D MIoU 31.94%(단일 모달의 약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