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3~10초로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256건이 같은 순간 도착하는 폭주에도 실패 0, 지속 부하 TTFB p50 70ms(p95 219ms)·최대 8.7 rps (2026.07.20). 모델 경량화(1.7B → 0.6B) 후 재튜닝으로 burst p95 TTFB 0.5초(동시 15)·1초(동시 30), 동시 스트림 수용 한계 36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· Supertonic 31)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정규화,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메모리 누수 전수 조사 (vLLM-Omni 엔진) — 43시간 롱런에서 발견한 호스트 메모리 선형 증가를 원인 6건(abort 송신측 상태, KV 블록 리스트, SHM 키 장부, jemalloc 미연결, 취소 요청 장부, torch 문자열 unbox)으로 규명해 모두 수정. 230~258 → +0.03 MiB/h, 운영 서버 70시간 343만 건 실패 0·재시작 0, 부하 종료 시 1,025 MiB 반납으로 누수 없음 확정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주 누수는 부하·할당자·캐시가 다른 4개 구성에서 증가율이 13배 달라도 abort당 36~56 KB로 일정한 불변량으로 특정(257 → 60 MiB/h). 잔여의 89%는 jemalloc 힙 프로파일 표집 보정으로 torch stable ABI 헤더까지 추적해 우회 패치. 이슈 #6352 리포트,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합성 결과 QA, TTS 학습 데이터 정제, ZipVoice 모델 학습, 사내 운영 테스트를 수행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데이터를 모아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사전 학습 모델 대비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Elasticsearch, 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대화-요약 쌍 데이터 수집과 ROUGE·사내 휴먼 평가를 평가 계획으로 설계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Latent Diffusion으로 전차 이미지 생성 실험 — 웹 수집 전차 이미지 7,586장으로 새 이미지를 만들어 실제 데이터와 상당 부분 유사함을 확인(대체 수준은 아님)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국방 도메인 이미지에서 전차를 자동 탐지하는 모델 개발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 — 2D MIoU 31.94%(단일 모달 2배).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수집·전처리 파이프라인 구축 (Python)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80.7·81.4%, 2회).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4개 셋에서 자명한 대조군과 비교 — 경보 유효율 93.6~98.0%(오탐 0~0.9%), 공식 test 셋 RUL MAE 15.8~23.0사이클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