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15.8~23.0사이클. 비용축 선택(경보 없음 대비 90% 절감)과 위험-커버리지 곡선까지 측정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