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OPERATIONS AND REFERENCE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ServicePro Role-Based Documentation Suite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Manuals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The in-application Documents workspace is the authoritative rendered manual. It applies runtime role filtering: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21"/>
        <w:gridCol w:w="6539"/>
      </w:tblGrid>
      <w:tr>
        <w:trPr>
          <w:tblHeader w:val="true"/>
        </w:trPr>
        <w:tc>
          <w:tcPr>
            <w:tcW w:type="dxa" w:w="2821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Viewer</w:t>
            </w:r>
          </w:p>
        </w:tc>
        <w:tc>
          <w:tcPr>
            <w:tcW w:type="dxa" w:w="6539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Available manuals</w:t>
            </w:r>
          </w:p>
        </w:tc>
      </w:tr>
      <w:tr>
        <w:tc>
          <w:tcPr>
            <w:tcW w:type="dxa" w:w="28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Platform administrator</w:t>
            </w:r>
          </w:p>
        </w:tc>
        <w:tc>
          <w:tcPr>
            <w:tcW w:type="dxa" w:w="65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Platform Admin, Developer/Integration, Owner, Staff</w:t>
            </w:r>
          </w:p>
        </w:tc>
      </w:tr>
      <w:tr>
        <w:tc>
          <w:tcPr>
            <w:tcW w:type="dxa" w:w="2821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Tenant owner</w:t>
            </w:r>
          </w:p>
        </w:tc>
        <w:tc>
          <w:tcPr>
            <w:tcW w:type="dxa" w:w="6539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Owner, Staff</w:t>
            </w:r>
          </w:p>
        </w:tc>
      </w:tr>
      <w:tr>
        <w:tc>
          <w:tcPr>
            <w:tcW w:type="dxa" w:w="28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Staff/technician</w:t>
            </w:r>
          </w:p>
        </w:tc>
        <w:tc>
          <w:tcPr>
            <w:tcW w:type="dxa" w:w="65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Staff</w:t>
            </w:r>
          </w:p>
        </w:tc>
      </w:tr>
    </w:tbl>
    <w:p>
      <w:pPr>
        <w:spacing w:after="40"/>
      </w:pPr>
    </w:p>
    <w:p>
      <w:r>
        <w:t xml:space="preserve">Internal platform and developer procedures must not be copied into tenant-visible knowledge articles. The source content is maintained in </w:t>
      </w:r>
      <w:r>
        <w:rPr>
          <w:rFonts w:ascii="Consolas" w:hAnsi="Consolas"/>
          <w:sz w:val="18"/>
        </w:rPr>
        <w:t>apps/web/src/components/DocumentationWorkspace.tsx</w:t>
      </w:r>
      <w:r>
        <w:t>.</w:t>
      </w:r>
    </w:p>
    <w:p>
      <w:pPr>
        <w:pStyle w:val="ListBullet"/>
      </w:pPr>
      <w:r>
        <w:t>Platform Administrator Guide — Render, Cloudflare, Supabase, migrations, RLS, storage, secrets, owner access, module entitlements, themes, audit, releases.</w:t>
      </w:r>
    </w:p>
    <w:p>
      <w:pPr>
        <w:pStyle w:val="ListBullet"/>
      </w:pPr>
      <w:r>
        <w:t>Web Developer &amp; Technical Integration Guide — architecture, guards, repositories, environment variables, module/migration/theme extensibility.</w:t>
      </w:r>
    </w:p>
    <w:p>
      <w:pPr>
        <w:pStyle w:val="ListBullet"/>
      </w:pPr>
      <w:r>
        <w:t>Business Owner Guide — activation, entitlement boundaries, teams, storefronts, service pages, and leads.</w:t>
      </w:r>
    </w:p>
    <w:p>
      <w:pPr>
        <w:pStyle w:val="ListBullet"/>
      </w:pPr>
      <w:r>
        <w:t>Staff &amp; Field Technician Guide — permissions, daily operations, customers, jobs, assets, inventory, billing boundaries, and security.</w:t>
      </w:r>
    </w:p>
    <w:p>
      <w:pPr>
        <w:pStyle w:val="Heading1"/>
      </w:pPr>
      <w:r>
        <w:t>Documentation change control</w:t>
      </w:r>
    </w:p>
    <w:p>
      <w:pPr>
        <w:pStyle w:val="ListNumber"/>
      </w:pPr>
      <w:r>
        <w:t>Update the in-application manual.</w:t>
      </w:r>
    </w:p>
    <w:p>
      <w:pPr>
        <w:pStyle w:val="ListNumber"/>
      </w:pPr>
      <w:r>
        <w:t>Confirm the intended audience.</w:t>
      </w:r>
    </w:p>
    <w:p>
      <w:pPr>
        <w:pStyle w:val="ListNumber"/>
      </w:pPr>
      <w:r>
        <w:t>Add or update tests for access filtering and required content.</w:t>
      </w:r>
    </w:p>
    <w:p>
      <w:pPr>
        <w:pStyle w:val="ListNumber"/>
      </w:pPr>
      <w:r>
        <w:t>Run the frontend production build.</w:t>
      </w:r>
    </w:p>
    <w:p>
      <w:pPr>
        <w:pStyle w:val="ListNumber"/>
      </w:pPr>
      <w:r>
        <w:t>Have a platform administrator review security-sensitive instructions.</w:t>
      </w:r>
    </w:p>
    <w:p>
      <w:pPr>
        <w:pStyle w:val="ListNumber"/>
      </w:pPr>
      <w:r>
        <w:t>Deploy the same commit to the API and web environments.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OPERATIONS AND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ServicePro Role-Based Documentation Suite</dc:title>
  <dc:subject>Manuals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