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42 — Autonomous Enterprise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Sprints 656–670.</w:t>
      </w:r>
    </w:p>
    <w:p>
      <w:r>
        <w:t xml:space="preserve">API base: </w:t>
      </w:r>
      <w:r>
        <w:rPr>
          <w:rFonts w:ascii="Consolas" w:hAnsi="Consolas"/>
          <w:sz w:val="18"/>
        </w:rPr>
        <w:t>/api/v1/autonomous-enterprise-operations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42 — Autonomous Enterprise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