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66 — Enterprise Deployment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66 includes:</w:t>
      </w:r>
    </w:p>
    <w:p>
      <w:pPr>
        <w:pStyle w:val="ListBullet"/>
      </w:pPr>
      <w:r>
        <w:t>Sprint 764 — Progressive Rollout Orchestration</w:t>
      </w:r>
    </w:p>
    <w:p>
      <w:pPr>
        <w:pStyle w:val="ListBullet"/>
      </w:pPr>
      <w:r>
        <w:t>Sprint 765 — Automated Rollback Governance</w:t>
      </w:r>
    </w:p>
    <w:p>
      <w:r>
        <w:t>Milestone capabilities:</w:t>
      </w:r>
    </w:p>
    <w:p>
      <w:pPr>
        <w:pStyle w:val="ListBullet"/>
      </w:pPr>
      <w:r>
        <w:t>Canary, Blue/Green, and Ring deployments</w:t>
      </w:r>
    </w:p>
    <w:p>
      <w:pPr>
        <w:pStyle w:val="ListBullet"/>
      </w:pPr>
      <w:r>
        <w:t>Controlled traffic shifting</w:t>
      </w:r>
    </w:p>
    <w:p>
      <w:pPr>
        <w:pStyle w:val="ListBullet"/>
      </w:pPr>
      <w:r>
        <w:t>Health-based automatic pause</w:t>
      </w:r>
    </w:p>
    <w:p>
      <w:pPr>
        <w:pStyle w:val="ListBullet"/>
      </w:pPr>
      <w:r>
        <w:t>Rollback trigger evaluation</w:t>
      </w:r>
    </w:p>
    <w:p>
      <w:pPr>
        <w:pStyle w:val="ListBullet"/>
      </w:pPr>
      <w:r>
        <w:t>Governed rollback authorization</w:t>
      </w:r>
    </w:p>
    <w:p>
      <w:pPr>
        <w:pStyle w:val="ListBullet"/>
      </w:pPr>
      <w:r>
        <w:t>Deployment recovery evidence</w:t>
      </w:r>
    </w:p>
    <w:p>
      <w:pPr>
        <w:pStyle w:val="ListBullet"/>
      </w:pPr>
      <w:r>
        <w:t>API and PostgreSQL persistence layers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66 — Enterprise Deployment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