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66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66 is fail-closed.</w:t>
      </w:r>
    </w:p>
    <w:p>
      <w:pPr>
        <w:pStyle w:val="ListBullet"/>
      </w:pPr>
      <w:r>
        <w:t>invalid rollout plans are rejected;</w:t>
      </w:r>
    </w:p>
    <w:p>
      <w:pPr>
        <w:pStyle w:val="ListBullet"/>
      </w:pPr>
      <w:r>
        <w:t>rollout health failures pause deployment;</w:t>
      </w:r>
    </w:p>
    <w:p>
      <w:pPr>
        <w:pStyle w:val="ListBullet"/>
      </w:pPr>
      <w:r>
        <w:t>rollback authorization requires a release ID, previous release ID, change ticket, and accountable operator;</w:t>
      </w:r>
    </w:p>
    <w:p>
      <w:pPr>
        <w:pStyle w:val="ListBullet"/>
      </w:pPr>
      <w:r>
        <w:t>automated decisions are persisted as evidence;</w:t>
      </w:r>
    </w:p>
    <w:p>
      <w:pPr>
        <w:pStyle w:val="ListBullet"/>
      </w:pPr>
      <w:r>
        <w:t>rollback execution must reference an authorized rollback ID;</w:t>
      </w:r>
    </w:p>
    <w:p>
      <w:pPr>
        <w:pStyle w:val="ListBullet"/>
      </w:pPr>
      <w:r>
        <w:t>generated operational evidence remains outside source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66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