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104 - Observability and Incident Management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103.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/api/v1/observability/monitors</w:t>
        <w:br/>
        <w:t>POST /api/v1/observability/monitors</w:t>
        <w:br/>
        <w:t>GET  /api/v1/observability/slos</w:t>
        <w:br/>
        <w:t>POST /api/v1/observability/slos</w:t>
        <w:br/>
        <w:t>POST /api/v1/observability/slos/evaluate</w:t>
        <w:br/>
        <w:t>GET  /api/v1/observability/alerts</w:t>
        <w:br/>
        <w:t>POST /api/v1/observability/alerts</w:t>
        <w:br/>
        <w:t>POST /api/v1/observability/alerts/:id/acknowledge</w:t>
        <w:br/>
        <w:t>POST /api/v1/observability/alerts/:id/resolve</w:t>
        <w:br/>
        <w:t>GET  /api/v1/observability/incidents</w:t>
        <w:br/>
        <w:t>POST /api/v1/observability/incidents</w:t>
        <w:br/>
        <w:t>POST /api/v1/observability/incidents/:id/transition</w:t>
        <w:br/>
        <w:t>GET  /api/v1/observability/incidents/:id/timeline</w:t>
        <w:br/>
        <w:t>POST /api/v1/observability/incidents/:id/timeline</w:t>
        <w:br/>
        <w:t>GET  /api/v1/observability/summary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seed:observability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104 - Observability and Incident Management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