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 Accounting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Implemented:</w:t>
      </w:r>
    </w:p>
    <w:p>
      <w:pPr>
        <w:pStyle w:val="ListBullet"/>
      </w:pPr>
      <w:r>
        <w:t>Tenant accounting settings.</w:t>
      </w:r>
    </w:p>
    <w:p>
      <w:pPr>
        <w:pStyle w:val="ListBullet"/>
      </w:pPr>
      <w:r>
        <w:t>CSV invoice export.</w:t>
      </w:r>
    </w:p>
    <w:p>
      <w:pPr>
        <w:pStyle w:val="ListBullet"/>
      </w:pPr>
      <w:r>
        <w:t>CSV payment export.</w:t>
      </w:r>
    </w:p>
    <w:p>
      <w:pPr>
        <w:pStyle w:val="ListBullet"/>
      </w:pPr>
      <w:r>
        <w:t>Customer balance report.</w:t>
      </w:r>
    </w:p>
    <w:p>
      <w:pPr>
        <w:pStyle w:val="ListBullet"/>
      </w:pPr>
      <w:r>
        <w:t>Payment reconciliation screen.</w:t>
      </w:r>
    </w:p>
    <w:p>
      <w:pPr>
        <w:pStyle w:val="ListBullet"/>
      </w:pPr>
      <w:r>
        <w:t>Payment recording.</w:t>
      </w:r>
    </w:p>
    <w:p>
      <w:pPr>
        <w:pStyle w:val="ListBullet"/>
      </w:pPr>
      <w:r>
        <w:t>Audit events for accounting changes and exports.</w:t>
      </w:r>
    </w:p>
    <w:p>
      <w:r>
        <w:t>Production follow-up:</w:t>
      </w:r>
    </w:p>
    <w:p>
      <w:pPr>
        <w:pStyle w:val="ListBullet"/>
      </w:pPr>
      <w:r>
        <w:t>Add QuickBooks Online OAuth.</w:t>
      </w:r>
    </w:p>
    <w:p>
      <w:pPr>
        <w:pStyle w:val="ListBullet"/>
      </w:pPr>
      <w:r>
        <w:t>Add Xero OAuth.</w:t>
      </w:r>
    </w:p>
    <w:p>
      <w:pPr>
        <w:pStyle w:val="ListBullet"/>
      </w:pPr>
      <w:r>
        <w:t>Add immutable ledger table.</w:t>
      </w:r>
    </w:p>
    <w:p>
      <w:pPr>
        <w:pStyle w:val="ListBullet"/>
      </w:pPr>
      <w:r>
        <w:t>Add payment gateway settlement matching.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 Accounting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