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152 - Privacy Case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152 adds jurisdiction-aware DSAR deadlines, verification evidence, fulfillment tasks, deadline extensions, subject communications, escalations, and operational metrics.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/api/v1/privacy/cases</w:t>
        <w:br/>
        <w:t>POST /api/v1/privacy/cases/:id/verify</w:t>
        <w:br/>
        <w:t>POST /api/v1/privacy/cases/:id/extend</w:t>
        <w:br/>
        <w:t>POST /api/v1/privacy/cases/:id/close</w:t>
        <w:br/>
        <w:t>POST /api/v1/privacy/case-tasks</w:t>
        <w:br/>
        <w:t>POST /api/v1/privacy/case-tasks/:id/complete</w:t>
        <w:br/>
        <w:t>POST /api/v1/privacy/case-communications</w:t>
        <w:br/>
        <w:t>GET  /api/v1/privacy/case-metrics</w:t>
      </w:r>
    </w:p>
    <w:p>
      <w:r>
        <w:t xml:space="preserve">Register </w:t>
      </w:r>
      <w:r>
        <w:rPr>
          <w:rFonts w:ascii="Consolas" w:hAnsi="Consolas"/>
          <w:sz w:val="18"/>
        </w:rPr>
        <w:t>privacyCaseOrchestrationRepository</w:t>
      </w:r>
      <w:r>
        <w:t xml:space="preserve"> in the cumulative repository factory and protect endpoints with privacy read/write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152 - Privacy Case Orchestration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