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154 - Privacy Appeals and Regulator Correspondence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Adds privacy appeal intake and decisions, regulator inquiries, response deadlines, submissions, closure, overdue tracking, and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/api/v1/privacy/appeals</w:t>
      </w:r>
      <w:r>
        <w:t xml:space="preserve">, </w:t>
      </w:r>
      <w:r>
        <w:rPr>
          <w:rFonts w:ascii="Consolas" w:hAnsi="Consolas"/>
          <w:sz w:val="18"/>
        </w:rPr>
        <w:t>/api/v1/privacy/regulator-inquiries</w:t>
      </w:r>
      <w:r>
        <w:t xml:space="preserve">, and </w:t>
      </w:r>
      <w:r>
        <w:rPr>
          <w:rFonts w:ascii="Consolas" w:hAnsi="Consolas"/>
          <w:sz w:val="18"/>
        </w:rPr>
        <w:t>/api/v1/privacy/appeals-metrics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154 - Privacy Appeals and Regulator Correspondence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