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155 - Privacy Compliance Evidence and Reporting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Adds tenant-scoped privacy compliance evidence collection, review and acceptance, periodic report generation and publication, and operational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/api/v1/privacy/compliance-evidence</w:t>
      </w:r>
      <w:r>
        <w:t xml:space="preserve">, </w:t>
      </w:r>
      <w:r>
        <w:rPr>
          <w:rFonts w:ascii="Consolas" w:hAnsi="Consolas"/>
          <w:sz w:val="18"/>
        </w:rPr>
        <w:t>/api/v1/privacy/compliance-reports</w:t>
      </w:r>
      <w:r>
        <w:t xml:space="preserve">, and </w:t>
      </w:r>
      <w:r>
        <w:rPr>
          <w:rFonts w:ascii="Consolas" w:hAnsi="Consolas"/>
          <w:sz w:val="18"/>
        </w:rPr>
        <w:t>/api/v1/privacy/compliance-metrics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155 - Privacy Compliance Evidence and Reporting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