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159 - Global Policy Management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Adds a tenant-scoped policy library, immutable version lineage, review and approval workflow, controlled publication, employee acknowledgements and attestations, policy exceptions, expiration reminders, and governance metrics.</w:t>
      </w:r>
    </w:p>
    <w:p>
      <w:r>
        <w:t xml:space="preserve">Endpoints: </w:t>
      </w:r>
      <w:r>
        <w:rPr>
          <w:rFonts w:ascii="Consolas" w:hAnsi="Consolas"/>
          <w:sz w:val="18"/>
        </w:rPr>
        <w:t>/api/v1/governance/policies</w:t>
      </w:r>
      <w:r>
        <w:t xml:space="preserve">, </w:t>
      </w:r>
      <w:r>
        <w:rPr>
          <w:rFonts w:ascii="Consolas" w:hAnsi="Consolas"/>
          <w:sz w:val="18"/>
        </w:rPr>
        <w:t>/api/v1/governance/policy-versions</w:t>
      </w:r>
      <w:r>
        <w:t xml:space="preserve">, </w:t>
      </w:r>
      <w:r>
        <w:rPr>
          <w:rFonts w:ascii="Consolas" w:hAnsi="Consolas"/>
          <w:sz w:val="18"/>
        </w:rPr>
        <w:t>/api/v1/governance/policy-acknowledgements</w:t>
      </w:r>
      <w:r>
        <w:t xml:space="preserve">, </w:t>
      </w:r>
      <w:r>
        <w:rPr>
          <w:rFonts w:ascii="Consolas" w:hAnsi="Consolas"/>
          <w:sz w:val="18"/>
        </w:rPr>
        <w:t>/api/v1/governance/policy-exceptions</w:t>
      </w:r>
      <w:r>
        <w:t xml:space="preserve">, and </w:t>
      </w:r>
      <w:r>
        <w:rPr>
          <w:rFonts w:ascii="Consolas" w:hAnsi="Consolas"/>
          <w:sz w:val="18"/>
        </w:rPr>
        <w:t>/api/v1/governance/policy-metrics</w:t>
      </w:r>
      <w: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159 - Global Policy Management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