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254 — Customer Impact Incident Coordination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15 capability domain: </w:t>
      </w:r>
      <w:r>
        <w:rPr>
          <w:rFonts w:ascii="Consolas" w:hAnsi="Consolas"/>
          <w:sz w:val="18"/>
        </w:rPr>
        <w:t>customer-impact-incident-coordination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/api/v1/post-ga-lts/customer-impact-incident-coordination.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254 — Customer Impact Incident Coordination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