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272 — Agent Tool Registry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16 capability domain: </w:t>
      </w:r>
      <w:r>
        <w:rPr>
          <w:rFonts w:ascii="Consolas" w:hAnsi="Consolas"/>
          <w:sz w:val="18"/>
        </w:rPr>
        <w:t>agent-tool-registry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/api/v1/enterprise-intelligence/agent-tool-registry.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272 — Agent Tool Registry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