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276 — Model Routing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16 capability domain: </w:t>
      </w:r>
      <w:r>
        <w:rPr>
          <w:rFonts w:ascii="Consolas" w:hAnsi="Consolas"/>
          <w:sz w:val="18"/>
        </w:rPr>
        <w:t>model-routing-optimization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/api/v1/enterprise-intelligence/model-routing-optimization.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276 — Model Routing Optimization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