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285 — Multi Region Tenant Routing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17 capability domain: </w:t>
      </w:r>
      <w:r>
        <w:rPr>
          <w:rFonts w:ascii="Consolas" w:hAnsi="Consolas"/>
          <w:sz w:val="18"/>
        </w:rPr>
        <w:t>multi-region-tenant-routing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/api/v1/global-scale/multi-region-tenant-routing.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285 — Multi Region Tenant Routing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