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Sprint30 Communications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30 establishes the communications layer.</w:t>
      </w:r>
    </w:p>
    <w:p>
      <w:r>
        <w:t>Included: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Email templates</w:t>
      </w:r>
    </w:p>
    <w:p>
      <w:pPr>
        <w:pStyle w:val="ListBullet"/>
      </w:pPr>
      <w:r>
        <w:t>SMS templates</w:t>
      </w:r>
    </w:p>
    <w:p>
      <w:pPr>
        <w:pStyle w:val="ListBullet"/>
      </w:pPr>
      <w:r>
        <w:t>Communication history</w:t>
      </w:r>
    </w:p>
    <w:p>
      <w:pPr>
        <w:pStyle w:val="ListBullet"/>
      </w:pPr>
      <w:r>
        <w:t>Campaign scheduling 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Sprint30 Communications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