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302 — Property Facilities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18 capability domain: </w:t>
      </w:r>
      <w:r>
        <w:rPr>
          <w:rFonts w:ascii="Consolas" w:hAnsi="Consolas"/>
          <w:sz w:val="18"/>
        </w:rPr>
        <w:t>property-facilities-operations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/api/v1/industry-solutions/property-facilities-operations.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302 — Property Facilities Operations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