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326 — Architecture Modernization Assessment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20 capability domain: </w:t>
      </w:r>
      <w:r>
        <w:rPr>
          <w:rFonts w:ascii="Consolas" w:hAnsi="Consolas"/>
          <w:sz w:val="18"/>
        </w:rPr>
        <w:t>architecture-modernization-assessment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/api/v1/version3-foundation/architecture-modernization-assessment.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326 — Architecture Modernization Assessment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