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334 — Security Architecture V3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Phase 20 capability domain: </w:t>
      </w:r>
      <w:r>
        <w:rPr>
          <w:rFonts w:ascii="Consolas" w:hAnsi="Consolas"/>
          <w:sz w:val="18"/>
        </w:rPr>
        <w:t>security-architecture-v3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/api/v1/version3-foundation/security-architecture-v3.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334 — Security Architecture V3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