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337 — Compatibility Bridge V2 V3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20 capability domain: </w:t>
      </w:r>
      <w:r>
        <w:rPr>
          <w:rFonts w:ascii="Consolas" w:hAnsi="Consolas"/>
          <w:sz w:val="18"/>
        </w:rPr>
        <w:t>compatibility-bridge-v2-v3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/api/v1/version3-foundation/compatibility-bridge-v2-v3.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337 — Compatibility Bridge V2 V3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