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366 — Automated Root Cause Analysis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Implemented as part of Phase 22: Service Intelligence Automation.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366 — Automated Root Cause Analysis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