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497 — Multi Party Work Orders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Phase 31: Workforce and Commerce Network.</w:t>
      </w:r>
    </w:p>
    <w:p>
      <w:pPr>
        <w:pStyle w:val="ListBullet"/>
      </w:pPr>
      <w:r>
        <w:t>API domain: multi-party-work-orders</w:t>
      </w:r>
    </w:p>
    <w:p>
      <w:pPr>
        <w:pStyle w:val="ListBullet"/>
      </w:pPr>
      <w:r>
        <w:t>Base route: /api/v1/workforce-commerce/multi-party-work-orders</w:t>
      </w:r>
    </w:p>
    <w:p>
      <w:pPr>
        <w:pStyle w:val="ListBullet"/>
      </w:pPr>
      <w:r>
        <w:t>Migration: 497_multi_party_work_orders.sql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497 — Multi Party Work Orders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