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504 — Network Risk Controls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31: Workforce and Commerce Network.</w:t>
      </w:r>
    </w:p>
    <w:p>
      <w:pPr>
        <w:pStyle w:val="ListBullet"/>
      </w:pPr>
      <w:r>
        <w:t>API domain: network-risk-controls</w:t>
      </w:r>
    </w:p>
    <w:p>
      <w:pPr>
        <w:pStyle w:val="ListBullet"/>
      </w:pPr>
      <w:r>
        <w:t>Base route: /api/v1/workforce-commerce/network-risk-controls</w:t>
      </w:r>
    </w:p>
    <w:p>
      <w:pPr>
        <w:pStyle w:val="ListBullet"/>
      </w:pPr>
      <w:r>
        <w:t>Migration: 504_network_risk_controls.sql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504 — Network Risk Controls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